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2EB" w:rsidRPr="00345528" w:rsidRDefault="00E052EB" w:rsidP="00E052EB">
      <w:pPr>
        <w:pStyle w:val="NormalWeb"/>
        <w:rPr>
          <w:b/>
          <w:bCs/>
          <w:color w:val="AD0C07"/>
        </w:rPr>
      </w:pPr>
    </w:p>
    <w:p w:rsidR="00E052EB" w:rsidRPr="00345528" w:rsidRDefault="00E052EB" w:rsidP="00345528">
      <w:pPr>
        <w:pStyle w:val="NormalWeb"/>
        <w:jc w:val="center"/>
        <w:rPr>
          <w:b/>
          <w:sz w:val="32"/>
        </w:rPr>
      </w:pPr>
      <w:r w:rsidRPr="00345528">
        <w:rPr>
          <w:b/>
          <w:sz w:val="32"/>
        </w:rPr>
        <w:t>Instrucciones para los autores</w:t>
      </w:r>
    </w:p>
    <w:p w:rsidR="00E052EB" w:rsidRPr="00345528" w:rsidRDefault="00E052EB" w:rsidP="003E37FB">
      <w:pPr>
        <w:pStyle w:val="NormalWeb"/>
        <w:jc w:val="both"/>
      </w:pPr>
      <w:r w:rsidRPr="00345528">
        <w:t xml:space="preserve">La </w:t>
      </w:r>
      <w:r w:rsidRPr="00345528">
        <w:rPr>
          <w:i/>
          <w:iCs/>
        </w:rPr>
        <w:t xml:space="preserve">Revista Colombiana de Hematología y Oncología (RevColHematolOncol) </w:t>
      </w:r>
      <w:r w:rsidRPr="00345528">
        <w:t>es la publicación oficial de la Asociación Colombiana de Hematología y Oncología (ACHO), tiene como finalidad la expansión y difusión del conocimiento relacionado con la hematología, la oncología y otras áreas afines. Con una periodicidad semestral, entrega a la comunidad científica y académica dos números cada año: enero-junio y julio-diciembre.</w:t>
      </w:r>
    </w:p>
    <w:p w:rsidR="00E052EB" w:rsidRPr="00345528" w:rsidRDefault="00E052EB" w:rsidP="00E052EB">
      <w:pPr>
        <w:pStyle w:val="NormalWeb"/>
      </w:pPr>
      <w:r w:rsidRPr="00345528">
        <w:rPr>
          <w:b/>
          <w:bCs/>
          <w:color w:val="AD0C07"/>
        </w:rPr>
        <w:t>Comunidad</w:t>
      </w:r>
    </w:p>
    <w:p w:rsidR="00BF7DBD" w:rsidRPr="00345528" w:rsidRDefault="00E052EB" w:rsidP="003E37FB">
      <w:pPr>
        <w:jc w:val="both"/>
      </w:pPr>
      <w:r w:rsidRPr="00345528">
        <w:t>Podrán publicar enfermeras, médicos generales y especialistas en las áreas de hematología, oncología, patología y biología molecular, así como tomadores de decisiones en salud, estudiantes y miembros de la comunidad académica y científica interesados en conocer y profundizar sobre las temáticas de interés de la revista tanto en del ámbito nacional como internacional.</w:t>
      </w:r>
    </w:p>
    <w:p w:rsidR="00E052EB" w:rsidRPr="00345528" w:rsidRDefault="00E052EB" w:rsidP="00E052EB">
      <w:pPr>
        <w:pStyle w:val="NormalWeb"/>
      </w:pPr>
      <w:r w:rsidRPr="00345528">
        <w:rPr>
          <w:b/>
          <w:bCs/>
          <w:color w:val="AD0C07"/>
        </w:rPr>
        <w:t xml:space="preserve">Áreas temáticas </w:t>
      </w:r>
    </w:p>
    <w:p w:rsidR="003E37FB" w:rsidRPr="00345528" w:rsidRDefault="00E052EB" w:rsidP="003E37FB">
      <w:pPr>
        <w:jc w:val="both"/>
      </w:pPr>
      <w:r w:rsidRPr="00345528">
        <w:t>El comité editorial de la Revista Colombiana de Hematología y Oncología considera para publicación los productos de nuevo conocimiento relacionado con la hematología, la oncología y otras áreas afines</w:t>
      </w:r>
      <w:r w:rsidR="003E37FB" w:rsidRPr="00345528">
        <w:t>,</w:t>
      </w:r>
      <w:r w:rsidRPr="00345528">
        <w:t xml:space="preserve"> como mecanismos moleculares, epidemiología, características clínicas, tratamiento e intervenciones en salud pública de neoplasias y condiciones hematológicas benignas.</w:t>
      </w:r>
    </w:p>
    <w:p w:rsidR="003E37FB" w:rsidRPr="00345528" w:rsidRDefault="003E37FB" w:rsidP="003E37FB">
      <w:pPr>
        <w:pStyle w:val="NormalWeb"/>
        <w:rPr>
          <w:b/>
          <w:bCs/>
          <w:color w:val="AD0C07"/>
        </w:rPr>
      </w:pPr>
      <w:r w:rsidRPr="00345528">
        <w:rPr>
          <w:b/>
          <w:bCs/>
          <w:color w:val="AD0C07"/>
        </w:rPr>
        <w:t xml:space="preserve">Idioma </w:t>
      </w:r>
    </w:p>
    <w:p w:rsidR="003E37FB" w:rsidRPr="00345528" w:rsidRDefault="003E37FB" w:rsidP="003E37FB">
      <w:pPr>
        <w:jc w:val="both"/>
      </w:pPr>
      <w:r w:rsidRPr="00345528">
        <w:t>Son considerados artículos en español y en inglés. Estos últimos, siempre y cuando su redacción haya sido revisada por un traductor certificado.</w:t>
      </w:r>
    </w:p>
    <w:p w:rsidR="003E37FB" w:rsidRPr="00345528" w:rsidRDefault="003E37FB" w:rsidP="003E37FB">
      <w:pPr>
        <w:pStyle w:val="NormalWeb"/>
      </w:pPr>
      <w:r w:rsidRPr="00345528">
        <w:rPr>
          <w:b/>
          <w:bCs/>
          <w:color w:val="AD0C07"/>
        </w:rPr>
        <w:t xml:space="preserve">Categorías de publicación </w:t>
      </w:r>
    </w:p>
    <w:p w:rsidR="003E37FB" w:rsidRPr="00345528" w:rsidRDefault="003E37FB" w:rsidP="003E37FB">
      <w:pPr>
        <w:pStyle w:val="NormalWeb"/>
      </w:pPr>
      <w:r w:rsidRPr="00345528">
        <w:t xml:space="preserve">La revista privilegia la publicación de tres tipos de artículos: Originales, de Revisión y Casos Clínicos. También considera la postulación </w:t>
      </w:r>
      <w:r w:rsidR="00A302B9" w:rsidRPr="00345528">
        <w:t xml:space="preserve">otros manuscritos como son Editoriales, </w:t>
      </w:r>
      <w:r w:rsidRPr="00345528">
        <w:t xml:space="preserve">Imágenes, Cartas al Editor y Especiales. En la siguiente tabla se describe cada </w:t>
      </w:r>
      <w:r w:rsidR="00A302B9" w:rsidRPr="00345528">
        <w:t>formato.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1532"/>
        <w:gridCol w:w="5423"/>
        <w:gridCol w:w="1873"/>
      </w:tblGrid>
      <w:tr w:rsidR="003E37FB" w:rsidRPr="00345528" w:rsidTr="00A302B9">
        <w:tc>
          <w:tcPr>
            <w:tcW w:w="1532" w:type="dxa"/>
            <w:tcBorders>
              <w:top w:val="single" w:sz="8" w:space="0" w:color="auto"/>
              <w:left w:val="single" w:sz="8" w:space="0" w:color="auto"/>
            </w:tcBorders>
          </w:tcPr>
          <w:p w:rsidR="003E37FB" w:rsidRPr="00345528" w:rsidRDefault="003E37FB" w:rsidP="005D6C2D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345528">
              <w:rPr>
                <w:b/>
                <w:sz w:val="24"/>
                <w:szCs w:val="24"/>
                <w:lang w:val="es-ES"/>
              </w:rPr>
              <w:t>Formato</w:t>
            </w:r>
          </w:p>
        </w:tc>
        <w:tc>
          <w:tcPr>
            <w:tcW w:w="5423" w:type="dxa"/>
            <w:tcBorders>
              <w:top w:val="single" w:sz="8" w:space="0" w:color="auto"/>
            </w:tcBorders>
          </w:tcPr>
          <w:p w:rsidR="003E37FB" w:rsidRPr="00345528" w:rsidRDefault="003E37FB" w:rsidP="005D6C2D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345528">
              <w:rPr>
                <w:b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1873" w:type="dxa"/>
            <w:tcBorders>
              <w:top w:val="single" w:sz="8" w:space="0" w:color="auto"/>
              <w:right w:val="single" w:sz="8" w:space="0" w:color="auto"/>
            </w:tcBorders>
          </w:tcPr>
          <w:p w:rsidR="003E37FB" w:rsidRPr="00345528" w:rsidRDefault="003E37FB" w:rsidP="005D6C2D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345528">
              <w:rPr>
                <w:b/>
                <w:sz w:val="24"/>
                <w:szCs w:val="24"/>
                <w:lang w:val="es-ES"/>
              </w:rPr>
              <w:t>Longitud máxima*</w:t>
            </w:r>
          </w:p>
        </w:tc>
      </w:tr>
      <w:tr w:rsidR="003E37FB" w:rsidRPr="00345528" w:rsidTr="00A302B9">
        <w:tc>
          <w:tcPr>
            <w:tcW w:w="1532" w:type="dxa"/>
            <w:tcBorders>
              <w:left w:val="single" w:sz="8" w:space="0" w:color="auto"/>
            </w:tcBorders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Editorial</w:t>
            </w:r>
          </w:p>
        </w:tc>
        <w:tc>
          <w:tcPr>
            <w:tcW w:w="5423" w:type="dxa"/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Documentos breves que hacen referencia a temas de interés, local e internacional. Usualmente son encargados por el comité editorial.</w:t>
            </w:r>
          </w:p>
        </w:tc>
        <w:tc>
          <w:tcPr>
            <w:tcW w:w="1873" w:type="dxa"/>
            <w:tcBorders>
              <w:right w:val="single" w:sz="8" w:space="0" w:color="auto"/>
            </w:tcBorders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1.000 palabras</w:t>
            </w:r>
          </w:p>
        </w:tc>
      </w:tr>
      <w:tr w:rsidR="003E37FB" w:rsidRPr="00345528" w:rsidTr="00A302B9">
        <w:tc>
          <w:tcPr>
            <w:tcW w:w="1532" w:type="dxa"/>
            <w:tcBorders>
              <w:left w:val="single" w:sz="8" w:space="0" w:color="auto"/>
            </w:tcBorders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Artículo original</w:t>
            </w:r>
          </w:p>
        </w:tc>
        <w:tc>
          <w:tcPr>
            <w:tcW w:w="5423" w:type="dxa"/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 xml:space="preserve">Reportes de resultados originales de investigación realizada en cualquiera de las áreas de interés. Se incluyen en esta categoría las revisiones sistemáticas y los </w:t>
            </w:r>
            <w:proofErr w:type="spellStart"/>
            <w:r w:rsidRPr="00345528">
              <w:rPr>
                <w:sz w:val="24"/>
                <w:szCs w:val="24"/>
                <w:lang w:val="es-ES"/>
              </w:rPr>
              <w:t>metaanálisis</w:t>
            </w:r>
            <w:proofErr w:type="spellEnd"/>
            <w:r w:rsidRPr="00345528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1873" w:type="dxa"/>
            <w:tcBorders>
              <w:right w:val="single" w:sz="8" w:space="0" w:color="auto"/>
            </w:tcBorders>
            <w:vAlign w:val="center"/>
          </w:tcPr>
          <w:p w:rsidR="003E37FB" w:rsidRPr="00345528" w:rsidRDefault="00A302B9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5</w:t>
            </w:r>
            <w:r w:rsidR="003E37FB" w:rsidRPr="00345528">
              <w:rPr>
                <w:sz w:val="24"/>
                <w:szCs w:val="24"/>
                <w:lang w:val="es-ES"/>
              </w:rPr>
              <w:t>.000 palabras</w:t>
            </w:r>
          </w:p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6 elementos entre figuras y tablas</w:t>
            </w:r>
          </w:p>
        </w:tc>
      </w:tr>
      <w:tr w:rsidR="003E37FB" w:rsidRPr="00345528" w:rsidTr="00A302B9">
        <w:tc>
          <w:tcPr>
            <w:tcW w:w="1532" w:type="dxa"/>
            <w:tcBorders>
              <w:left w:val="single" w:sz="8" w:space="0" w:color="auto"/>
            </w:tcBorders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lastRenderedPageBreak/>
              <w:t>Revisión</w:t>
            </w:r>
          </w:p>
        </w:tc>
        <w:tc>
          <w:tcPr>
            <w:tcW w:w="5423" w:type="dxa"/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 xml:space="preserve">Consulta cuidadosa y crítica de la bibliografía existente sobre un tema, que proporciona una actualización narrativa y específica que sugiere pautas para nuevas </w:t>
            </w:r>
            <w:r w:rsidRPr="004605BF">
              <w:rPr>
                <w:sz w:val="24"/>
                <w:szCs w:val="24"/>
                <w:lang w:val="es-ES"/>
              </w:rPr>
              <w:t>investigaciones. Estas serán solicitadas por el comité editorial a expertos en cada tema.</w:t>
            </w:r>
            <w:r w:rsidRPr="00345528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873" w:type="dxa"/>
            <w:tcBorders>
              <w:right w:val="single" w:sz="8" w:space="0" w:color="auto"/>
            </w:tcBorders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5.000 palabras</w:t>
            </w:r>
          </w:p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5 elementos entre figuras y tablas</w:t>
            </w:r>
          </w:p>
        </w:tc>
      </w:tr>
      <w:tr w:rsidR="003E37FB" w:rsidRPr="00345528" w:rsidTr="00A302B9">
        <w:tc>
          <w:tcPr>
            <w:tcW w:w="1532" w:type="dxa"/>
            <w:tcBorders>
              <w:left w:val="single" w:sz="8" w:space="0" w:color="auto"/>
            </w:tcBorders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Casos clínicos</w:t>
            </w:r>
          </w:p>
        </w:tc>
        <w:tc>
          <w:tcPr>
            <w:tcW w:w="5423" w:type="dxa"/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Descripción de un caso de interés para la práctica hematológica y oncológica rutinaria que represente una contribución significativa para la toma de decisiones y el desarrollo de la investigación.</w:t>
            </w:r>
          </w:p>
        </w:tc>
        <w:tc>
          <w:tcPr>
            <w:tcW w:w="1873" w:type="dxa"/>
            <w:tcBorders>
              <w:right w:val="single" w:sz="8" w:space="0" w:color="auto"/>
            </w:tcBorders>
            <w:vAlign w:val="center"/>
          </w:tcPr>
          <w:p w:rsidR="003E37FB" w:rsidRPr="00345528" w:rsidRDefault="00A302B9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3</w:t>
            </w:r>
            <w:r w:rsidR="003E37FB" w:rsidRPr="00345528">
              <w:rPr>
                <w:sz w:val="24"/>
                <w:szCs w:val="24"/>
                <w:lang w:val="es-ES"/>
              </w:rPr>
              <w:t>.000 palabras</w:t>
            </w:r>
          </w:p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3 elementos entre figuras y tablas</w:t>
            </w:r>
          </w:p>
        </w:tc>
      </w:tr>
      <w:tr w:rsidR="003E37FB" w:rsidRPr="00345528" w:rsidTr="00A302B9">
        <w:tc>
          <w:tcPr>
            <w:tcW w:w="1532" w:type="dxa"/>
            <w:tcBorders>
              <w:left w:val="single" w:sz="8" w:space="0" w:color="auto"/>
            </w:tcBorders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Imágenes</w:t>
            </w:r>
          </w:p>
        </w:tc>
        <w:tc>
          <w:tcPr>
            <w:tcW w:w="5423" w:type="dxa"/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Presentación sucinta e ilustrada de un tema que muestra de forma didáctica un concepto referente a una enfermedad o diagnóstico hematológico u oncológico.</w:t>
            </w:r>
          </w:p>
        </w:tc>
        <w:tc>
          <w:tcPr>
            <w:tcW w:w="1873" w:type="dxa"/>
            <w:tcBorders>
              <w:right w:val="single" w:sz="8" w:space="0" w:color="auto"/>
            </w:tcBorders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1.000 palabras</w:t>
            </w:r>
          </w:p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4 figuras</w:t>
            </w:r>
          </w:p>
        </w:tc>
      </w:tr>
      <w:tr w:rsidR="003E37FB" w:rsidRPr="00345528" w:rsidTr="00A302B9">
        <w:tc>
          <w:tcPr>
            <w:tcW w:w="1532" w:type="dxa"/>
            <w:tcBorders>
              <w:left w:val="single" w:sz="8" w:space="0" w:color="auto"/>
            </w:tcBorders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Cartas al editor</w:t>
            </w:r>
          </w:p>
        </w:tc>
        <w:tc>
          <w:tcPr>
            <w:tcW w:w="5423" w:type="dxa"/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Comentarios al contenido de la revista o algún tema de interés común para los profesionales relacionados con la hematología, la oncología y otras áreas afines. Se reciben antes de la publicación del siguiente número al que hacen referencia.</w:t>
            </w:r>
          </w:p>
        </w:tc>
        <w:tc>
          <w:tcPr>
            <w:tcW w:w="1873" w:type="dxa"/>
            <w:tcBorders>
              <w:right w:val="single" w:sz="8" w:space="0" w:color="auto"/>
            </w:tcBorders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500 palabras</w:t>
            </w:r>
          </w:p>
        </w:tc>
      </w:tr>
      <w:tr w:rsidR="003E37FB" w:rsidRPr="00345528" w:rsidTr="00A302B9">
        <w:tc>
          <w:tcPr>
            <w:tcW w:w="15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Especiales</w:t>
            </w:r>
          </w:p>
        </w:tc>
        <w:tc>
          <w:tcPr>
            <w:tcW w:w="5423" w:type="dxa"/>
            <w:tcBorders>
              <w:bottom w:val="single" w:sz="8" w:space="0" w:color="auto"/>
            </w:tcBorders>
            <w:vAlign w:val="center"/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Documentos creados exclusivamente por solicitud del comité editorial. Incluye documentos históricos, homenajes y resultados destacados de estudios de investigación.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37FB" w:rsidRPr="00345528" w:rsidRDefault="00A302B9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5.000 palabras</w:t>
            </w:r>
          </w:p>
        </w:tc>
      </w:tr>
      <w:tr w:rsidR="003E37FB" w:rsidRPr="00345528" w:rsidTr="00A302B9">
        <w:tc>
          <w:tcPr>
            <w:tcW w:w="882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</w:p>
          <w:p w:rsidR="003E37FB" w:rsidRPr="00345528" w:rsidRDefault="003E37FB" w:rsidP="005D6C2D">
            <w:pPr>
              <w:rPr>
                <w:sz w:val="24"/>
                <w:szCs w:val="24"/>
                <w:lang w:val="es-ES"/>
              </w:rPr>
            </w:pPr>
            <w:r w:rsidRPr="00345528">
              <w:rPr>
                <w:sz w:val="24"/>
                <w:szCs w:val="24"/>
                <w:lang w:val="es-ES"/>
              </w:rPr>
              <w:t>* El conteo de palabras para la longitud máxima no incluye resumen, palabras clave, referencias, tablas, figuras ni material suplementario.</w:t>
            </w:r>
          </w:p>
        </w:tc>
      </w:tr>
    </w:tbl>
    <w:p w:rsidR="00A302B9" w:rsidRPr="00345528" w:rsidRDefault="00A302B9" w:rsidP="00A302B9">
      <w:pPr>
        <w:pStyle w:val="NormalWeb"/>
      </w:pPr>
      <w:r w:rsidRPr="00345528">
        <w:rPr>
          <w:b/>
          <w:bCs/>
          <w:color w:val="AD0C07"/>
        </w:rPr>
        <w:t xml:space="preserve">Requisitos </w:t>
      </w:r>
      <w:r w:rsidR="00B264AF" w:rsidRPr="00345528">
        <w:rPr>
          <w:b/>
          <w:bCs/>
          <w:color w:val="AD0C07"/>
        </w:rPr>
        <w:t xml:space="preserve">y partes </w:t>
      </w:r>
      <w:r w:rsidRPr="00345528">
        <w:rPr>
          <w:b/>
          <w:bCs/>
          <w:color w:val="AD0C07"/>
        </w:rPr>
        <w:t xml:space="preserve">del manuscrito </w:t>
      </w:r>
    </w:p>
    <w:p w:rsidR="00A302B9" w:rsidRPr="00345528" w:rsidRDefault="00A302B9" w:rsidP="00491BE2">
      <w:pPr>
        <w:ind w:left="68"/>
        <w:jc w:val="both"/>
      </w:pPr>
      <w:r w:rsidRPr="00345528">
        <w:t xml:space="preserve">La </w:t>
      </w:r>
      <w:r w:rsidRPr="00345528">
        <w:rPr>
          <w:i/>
          <w:iCs/>
        </w:rPr>
        <w:t>Revista Colombiana de Hematología y Oncología</w:t>
      </w:r>
      <w:r w:rsidRPr="00345528">
        <w:t xml:space="preserve"> plantea los siguientes lineamientos generales para la estructuración de los documentos:</w:t>
      </w:r>
    </w:p>
    <w:p w:rsidR="00491BE2" w:rsidRPr="00345528" w:rsidRDefault="00491BE2" w:rsidP="00491BE2">
      <w:pPr>
        <w:ind w:left="68"/>
        <w:jc w:val="both"/>
        <w:rPr>
          <w:lang w:val="es-ES"/>
        </w:rPr>
      </w:pPr>
    </w:p>
    <w:p w:rsidR="00491BE2" w:rsidRPr="00345528" w:rsidRDefault="00A302B9" w:rsidP="0067198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345528">
        <w:rPr>
          <w:lang w:val="es-ES"/>
        </w:rPr>
        <w:t>Formato de archivo</w:t>
      </w:r>
      <w:r w:rsidR="00491BE2" w:rsidRPr="00345528">
        <w:rPr>
          <w:lang w:val="es-ES"/>
        </w:rPr>
        <w:t>:</w:t>
      </w:r>
      <w:r w:rsidRPr="00345528">
        <w:rPr>
          <w:lang w:val="es-ES"/>
        </w:rPr>
        <w:t xml:space="preserve"> Microsoft Word® (DOC o DOCX).</w:t>
      </w:r>
    </w:p>
    <w:p w:rsidR="00491BE2" w:rsidRPr="00345528" w:rsidRDefault="00491BE2" w:rsidP="0067198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345528">
        <w:rPr>
          <w:lang w:val="es-ES"/>
        </w:rPr>
        <w:t>Tamaño de h</w:t>
      </w:r>
      <w:r w:rsidR="00A302B9" w:rsidRPr="00345528">
        <w:rPr>
          <w:lang w:val="es-ES"/>
        </w:rPr>
        <w:t>oja</w:t>
      </w:r>
      <w:r w:rsidRPr="00345528">
        <w:rPr>
          <w:lang w:val="es-ES"/>
        </w:rPr>
        <w:t>:</w:t>
      </w:r>
      <w:r w:rsidR="00A302B9" w:rsidRPr="00345528">
        <w:rPr>
          <w:lang w:val="es-ES"/>
        </w:rPr>
        <w:t xml:space="preserve"> carta</w:t>
      </w:r>
      <w:r w:rsidRPr="00345528">
        <w:rPr>
          <w:lang w:val="es-ES"/>
        </w:rPr>
        <w:t xml:space="preserve">, </w:t>
      </w:r>
      <w:r w:rsidR="00A302B9" w:rsidRPr="00345528">
        <w:rPr>
          <w:lang w:val="es-ES"/>
        </w:rPr>
        <w:t>márgenes</w:t>
      </w:r>
      <w:r w:rsidRPr="00345528">
        <w:rPr>
          <w:lang w:val="es-ES"/>
        </w:rPr>
        <w:t>:</w:t>
      </w:r>
      <w:r w:rsidR="00A302B9" w:rsidRPr="00345528">
        <w:rPr>
          <w:lang w:val="es-ES"/>
        </w:rPr>
        <w:t xml:space="preserve"> 2,5 centímetros</w:t>
      </w:r>
      <w:r w:rsidRPr="00345528">
        <w:rPr>
          <w:lang w:val="es-ES"/>
        </w:rPr>
        <w:t xml:space="preserve"> en todos los lados</w:t>
      </w:r>
      <w:r w:rsidR="00A302B9" w:rsidRPr="00345528">
        <w:rPr>
          <w:lang w:val="es-ES"/>
        </w:rPr>
        <w:t>.</w:t>
      </w:r>
    </w:p>
    <w:p w:rsidR="00491BE2" w:rsidRPr="00345528" w:rsidRDefault="00A302B9" w:rsidP="0067198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345528">
        <w:rPr>
          <w:lang w:val="es-ES"/>
        </w:rPr>
        <w:t>Fuente</w:t>
      </w:r>
      <w:r w:rsidR="00491BE2" w:rsidRPr="00345528">
        <w:rPr>
          <w:lang w:val="es-ES"/>
        </w:rPr>
        <w:t>:</w:t>
      </w:r>
      <w:r w:rsidRPr="00345528">
        <w:rPr>
          <w:lang w:val="es-ES"/>
        </w:rPr>
        <w:t xml:space="preserve"> Arial, tamaño</w:t>
      </w:r>
      <w:r w:rsidR="00491BE2" w:rsidRPr="00345528">
        <w:rPr>
          <w:lang w:val="es-ES"/>
        </w:rPr>
        <w:t>:</w:t>
      </w:r>
      <w:r w:rsidRPr="00345528">
        <w:rPr>
          <w:lang w:val="es-ES"/>
        </w:rPr>
        <w:t xml:space="preserve"> 12 puntos, interlineado</w:t>
      </w:r>
      <w:r w:rsidR="00491BE2" w:rsidRPr="00345528">
        <w:rPr>
          <w:lang w:val="es-ES"/>
        </w:rPr>
        <w:t>:</w:t>
      </w:r>
      <w:r w:rsidRPr="00345528">
        <w:rPr>
          <w:lang w:val="es-ES"/>
        </w:rPr>
        <w:t xml:space="preserve"> doble.</w:t>
      </w:r>
    </w:p>
    <w:p w:rsidR="00491BE2" w:rsidRPr="00345528" w:rsidRDefault="00A302B9" w:rsidP="0067198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345528">
        <w:rPr>
          <w:lang w:val="es-ES"/>
        </w:rPr>
        <w:t>No exceder la longitud máxima indicada en las categorías de publicación.</w:t>
      </w:r>
    </w:p>
    <w:p w:rsidR="00491BE2" w:rsidRPr="00345528" w:rsidRDefault="00A302B9" w:rsidP="0067198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345528">
        <w:rPr>
          <w:lang w:val="es-ES"/>
        </w:rPr>
        <w:t xml:space="preserve">Estar escrito con adecuada redacción, ortografía y gramática. Si bien la </w:t>
      </w:r>
      <w:proofErr w:type="spellStart"/>
      <w:r w:rsidRPr="00345528">
        <w:rPr>
          <w:i/>
          <w:lang w:val="es-ES"/>
        </w:rPr>
        <w:t>R</w:t>
      </w:r>
      <w:r w:rsidR="00491BE2" w:rsidRPr="00345528">
        <w:rPr>
          <w:i/>
          <w:lang w:val="es-ES"/>
        </w:rPr>
        <w:t>ev</w:t>
      </w:r>
      <w:r w:rsidRPr="00345528">
        <w:rPr>
          <w:i/>
          <w:lang w:val="es-ES"/>
        </w:rPr>
        <w:t>C</w:t>
      </w:r>
      <w:r w:rsidR="00491BE2" w:rsidRPr="00345528">
        <w:rPr>
          <w:i/>
          <w:lang w:val="es-ES"/>
        </w:rPr>
        <w:t>ol</w:t>
      </w:r>
      <w:r w:rsidRPr="00345528">
        <w:rPr>
          <w:i/>
          <w:lang w:val="es-ES"/>
        </w:rPr>
        <w:t>H</w:t>
      </w:r>
      <w:r w:rsidR="00491BE2" w:rsidRPr="00345528">
        <w:rPr>
          <w:i/>
          <w:lang w:val="es-ES"/>
        </w:rPr>
        <w:t>ematol</w:t>
      </w:r>
      <w:r w:rsidRPr="00345528">
        <w:rPr>
          <w:i/>
          <w:lang w:val="es-ES"/>
        </w:rPr>
        <w:t>O</w:t>
      </w:r>
      <w:r w:rsidR="00491BE2" w:rsidRPr="00345528">
        <w:rPr>
          <w:i/>
          <w:lang w:val="es-ES"/>
        </w:rPr>
        <w:t>ncol</w:t>
      </w:r>
      <w:proofErr w:type="spellEnd"/>
      <w:r w:rsidRPr="00345528">
        <w:rPr>
          <w:lang w:val="es-ES"/>
        </w:rPr>
        <w:t xml:space="preserve"> hace corrección de estilo de los artículos aceptados, un manuscrito considerado incomprensible para el editor será rechazado.</w:t>
      </w:r>
    </w:p>
    <w:p w:rsidR="00491BE2" w:rsidRPr="00345528" w:rsidRDefault="00A302B9" w:rsidP="0067198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345528">
        <w:rPr>
          <w:lang w:val="es-ES"/>
        </w:rPr>
        <w:t>Tener las siguientes secciones, comenzando en páginas diferentes:</w:t>
      </w:r>
    </w:p>
    <w:p w:rsidR="00491BE2" w:rsidRPr="00345528" w:rsidRDefault="00491BE2" w:rsidP="0067198F">
      <w:pPr>
        <w:pStyle w:val="Prrafodelista"/>
        <w:jc w:val="both"/>
        <w:rPr>
          <w:lang w:val="es-ES"/>
        </w:rPr>
      </w:pPr>
    </w:p>
    <w:p w:rsidR="00A302B9" w:rsidRPr="00345528" w:rsidRDefault="00A302B9" w:rsidP="0067198F">
      <w:pPr>
        <w:pStyle w:val="Prrafodelista"/>
        <w:jc w:val="both"/>
        <w:rPr>
          <w:lang w:val="es-ES"/>
        </w:rPr>
      </w:pPr>
      <w:r w:rsidRPr="00345528">
        <w:rPr>
          <w:b/>
          <w:bCs/>
          <w:lang w:val="es-ES"/>
        </w:rPr>
        <w:t>Portada</w:t>
      </w:r>
      <w:r w:rsidRPr="00345528">
        <w:rPr>
          <w:lang w:val="es-ES"/>
        </w:rPr>
        <w:t>:</w:t>
      </w:r>
    </w:p>
    <w:p w:rsidR="00A302B9" w:rsidRPr="00345528" w:rsidRDefault="00A302B9" w:rsidP="0067198F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345528">
        <w:rPr>
          <w:lang w:val="es-ES"/>
        </w:rPr>
        <w:t>Título completo del manuscrito en español.</w:t>
      </w:r>
    </w:p>
    <w:p w:rsidR="00A302B9" w:rsidRPr="00345528" w:rsidRDefault="00A302B9" w:rsidP="0067198F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345528">
        <w:rPr>
          <w:lang w:val="es-ES"/>
        </w:rPr>
        <w:t>Título corto en español (50 caracteres incluyendo espacios).</w:t>
      </w:r>
    </w:p>
    <w:p w:rsidR="00491BE2" w:rsidRPr="00345528" w:rsidRDefault="00A302B9" w:rsidP="0067198F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345528">
        <w:rPr>
          <w:lang w:val="es-ES"/>
        </w:rPr>
        <w:t xml:space="preserve">Resumen: máximo 250 palabras. Los artículos originales requieren un resumen estructurado compuesto por introducción, objetivos, métodos, resultados y </w:t>
      </w:r>
      <w:r w:rsidRPr="00345528">
        <w:rPr>
          <w:lang w:val="es-ES"/>
        </w:rPr>
        <w:lastRenderedPageBreak/>
        <w:t>conclusiones. Los ensayos clínicos deben seguir los lineamientos de Consort (</w:t>
      </w:r>
      <w:hyperlink r:id="rId5" w:history="1">
        <w:r w:rsidR="00491BE2" w:rsidRPr="00345528">
          <w:rPr>
            <w:rStyle w:val="Hipervnculo"/>
            <w:lang w:val="es-ES"/>
          </w:rPr>
          <w:t>http://www.equator-network.org</w:t>
        </w:r>
      </w:hyperlink>
      <w:r w:rsidRPr="00345528">
        <w:rPr>
          <w:lang w:val="es-ES"/>
        </w:rPr>
        <w:t>).</w:t>
      </w:r>
    </w:p>
    <w:p w:rsidR="00734425" w:rsidRPr="00345528" w:rsidRDefault="00734425" w:rsidP="0067198F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345528">
        <w:rPr>
          <w:lang w:val="es-ES"/>
        </w:rPr>
        <w:t>P</w:t>
      </w:r>
      <w:r w:rsidR="00A302B9" w:rsidRPr="00345528">
        <w:rPr>
          <w:lang w:val="es-ES"/>
        </w:rPr>
        <w:t>alabras clave</w:t>
      </w:r>
      <w:r w:rsidRPr="00345528">
        <w:rPr>
          <w:lang w:val="es-ES"/>
        </w:rPr>
        <w:t xml:space="preserve">: cinco </w:t>
      </w:r>
      <w:r w:rsidR="00D00996" w:rsidRPr="00345528">
        <w:rPr>
          <w:lang w:val="es-ES"/>
        </w:rPr>
        <w:t xml:space="preserve">a siete </w:t>
      </w:r>
      <w:r w:rsidRPr="00345528">
        <w:rPr>
          <w:lang w:val="es-ES"/>
        </w:rPr>
        <w:t xml:space="preserve">palabras clave </w:t>
      </w:r>
      <w:r w:rsidR="00A302B9" w:rsidRPr="00345528">
        <w:rPr>
          <w:lang w:val="es-ES"/>
        </w:rPr>
        <w:t>en español usando los descriptores en ciencias de la salud (</w:t>
      </w:r>
      <w:proofErr w:type="spellStart"/>
      <w:r w:rsidR="00A302B9" w:rsidRPr="00345528">
        <w:rPr>
          <w:lang w:val="es-ES"/>
        </w:rPr>
        <w:t>DeCS</w:t>
      </w:r>
      <w:proofErr w:type="spellEnd"/>
      <w:r w:rsidR="00A302B9" w:rsidRPr="00345528">
        <w:rPr>
          <w:lang w:val="es-ES"/>
        </w:rPr>
        <w:t xml:space="preserve">, </w:t>
      </w:r>
      <w:hyperlink r:id="rId6" w:history="1">
        <w:r w:rsidRPr="00345528">
          <w:rPr>
            <w:rStyle w:val="Hipervnculo"/>
            <w:lang w:val="es-ES"/>
          </w:rPr>
          <w:t>http://decs.bvs.br/E/homepagee.htm</w:t>
        </w:r>
      </w:hyperlink>
      <w:r w:rsidR="00A302B9" w:rsidRPr="00345528">
        <w:rPr>
          <w:lang w:val="es-ES"/>
        </w:rPr>
        <w:t>.</w:t>
      </w:r>
    </w:p>
    <w:p w:rsidR="00734425" w:rsidRPr="00345528" w:rsidRDefault="00A302B9" w:rsidP="0067198F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345528">
        <w:rPr>
          <w:lang w:val="es-ES"/>
        </w:rPr>
        <w:t>Título completo del manuscrito en inglés.</w:t>
      </w:r>
    </w:p>
    <w:p w:rsidR="00734425" w:rsidRPr="00345528" w:rsidRDefault="00734425" w:rsidP="0067198F">
      <w:pPr>
        <w:pStyle w:val="Prrafodelista"/>
        <w:numPr>
          <w:ilvl w:val="0"/>
          <w:numId w:val="3"/>
        </w:numPr>
        <w:jc w:val="both"/>
        <w:rPr>
          <w:lang w:val="es-ES"/>
        </w:rPr>
      </w:pPr>
      <w:proofErr w:type="spellStart"/>
      <w:r w:rsidRPr="00345528">
        <w:rPr>
          <w:iCs/>
          <w:lang w:val="es-ES"/>
        </w:rPr>
        <w:t>Abstract</w:t>
      </w:r>
      <w:proofErr w:type="spellEnd"/>
      <w:r w:rsidRPr="00345528">
        <w:rPr>
          <w:iCs/>
          <w:lang w:val="es-ES"/>
        </w:rPr>
        <w:t xml:space="preserve">: </w:t>
      </w:r>
      <w:r w:rsidR="00A302B9" w:rsidRPr="00345528">
        <w:rPr>
          <w:lang w:val="es-ES"/>
        </w:rPr>
        <w:t>Resumen en inglés con las mismas características del resumen en español.</w:t>
      </w:r>
    </w:p>
    <w:p w:rsidR="00A302B9" w:rsidRPr="00345528" w:rsidRDefault="00734425" w:rsidP="0067198F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345528">
        <w:rPr>
          <w:lang w:val="es-ES"/>
        </w:rPr>
        <w:t xml:space="preserve">Key </w:t>
      </w:r>
      <w:proofErr w:type="spellStart"/>
      <w:r w:rsidRPr="00345528">
        <w:rPr>
          <w:lang w:val="es-ES"/>
        </w:rPr>
        <w:t>words</w:t>
      </w:r>
      <w:proofErr w:type="spellEnd"/>
      <w:r w:rsidRPr="00345528">
        <w:rPr>
          <w:lang w:val="es-ES"/>
        </w:rPr>
        <w:t xml:space="preserve">: </w:t>
      </w:r>
      <w:r w:rsidR="007E2D89" w:rsidRPr="00345528">
        <w:rPr>
          <w:lang w:val="es-ES"/>
        </w:rPr>
        <w:t>cinco</w:t>
      </w:r>
      <w:r w:rsidR="00A302B9" w:rsidRPr="00345528">
        <w:rPr>
          <w:lang w:val="es-ES"/>
        </w:rPr>
        <w:t xml:space="preserve"> </w:t>
      </w:r>
      <w:r w:rsidR="00D00996" w:rsidRPr="00345528">
        <w:rPr>
          <w:lang w:val="es-ES"/>
        </w:rPr>
        <w:t xml:space="preserve">a siete </w:t>
      </w:r>
      <w:r w:rsidR="00A302B9" w:rsidRPr="00345528">
        <w:rPr>
          <w:lang w:val="es-ES"/>
        </w:rPr>
        <w:t>palabras clave en inglés usando</w:t>
      </w:r>
      <w:r w:rsidR="00791958" w:rsidRPr="00345528">
        <w:rPr>
          <w:lang w:val="es-ES"/>
        </w:rPr>
        <w:t xml:space="preserve"> los</w:t>
      </w:r>
      <w:r w:rsidR="00A302B9" w:rsidRPr="00345528">
        <w:rPr>
          <w:lang w:val="es-ES"/>
        </w:rPr>
        <w:t xml:space="preserve"> términos </w:t>
      </w:r>
      <w:proofErr w:type="spellStart"/>
      <w:r w:rsidR="00791958" w:rsidRPr="00345528">
        <w:rPr>
          <w:lang w:val="es-ES"/>
        </w:rPr>
        <w:t>DeCS</w:t>
      </w:r>
      <w:proofErr w:type="spellEnd"/>
      <w:r w:rsidR="00791958" w:rsidRPr="00345528">
        <w:rPr>
          <w:lang w:val="es-ES"/>
        </w:rPr>
        <w:t xml:space="preserve"> correspondientes en inglés.</w:t>
      </w:r>
    </w:p>
    <w:p w:rsidR="0067198F" w:rsidRPr="00345528" w:rsidRDefault="0067198F" w:rsidP="0067198F">
      <w:pPr>
        <w:rPr>
          <w:lang w:val="es-ES"/>
        </w:rPr>
      </w:pPr>
    </w:p>
    <w:p w:rsidR="0067198F" w:rsidRPr="00345528" w:rsidRDefault="00A302B9" w:rsidP="0067198F">
      <w:pPr>
        <w:ind w:firstLine="635"/>
        <w:rPr>
          <w:lang w:val="es-ES"/>
        </w:rPr>
      </w:pPr>
      <w:r w:rsidRPr="00345528">
        <w:rPr>
          <w:b/>
          <w:bCs/>
          <w:lang w:val="es-ES"/>
        </w:rPr>
        <w:t>Cuerpo del manuscrito:</w:t>
      </w:r>
      <w:r w:rsidRPr="00345528">
        <w:rPr>
          <w:lang w:val="es-ES"/>
        </w:rPr>
        <w:t xml:space="preserve"> </w:t>
      </w:r>
    </w:p>
    <w:p w:rsidR="007E2D89" w:rsidRPr="00345528" w:rsidRDefault="0067198F" w:rsidP="007E2D89">
      <w:pPr>
        <w:ind w:left="635"/>
        <w:jc w:val="both"/>
        <w:rPr>
          <w:rFonts w:eastAsiaTheme="minorHAnsi"/>
          <w:lang w:val="es-ES" w:eastAsia="en-US"/>
        </w:rPr>
      </w:pPr>
      <w:r w:rsidRPr="00345528">
        <w:rPr>
          <w:lang w:val="es-ES"/>
        </w:rPr>
        <w:t>D</w:t>
      </w:r>
      <w:r w:rsidR="00A302B9" w:rsidRPr="00345528">
        <w:rPr>
          <w:lang w:val="es-ES"/>
        </w:rPr>
        <w:t>ebe estar dividido en secciones y subsecciones según el tipo de publicación</w:t>
      </w:r>
      <w:r w:rsidR="00B264AF" w:rsidRPr="00345528">
        <w:rPr>
          <w:lang w:val="es-ES"/>
        </w:rPr>
        <w:t>.</w:t>
      </w:r>
      <w:r w:rsidR="00A302B9" w:rsidRPr="00345528">
        <w:rPr>
          <w:lang w:val="es-ES"/>
        </w:rPr>
        <w:t xml:space="preserve"> </w:t>
      </w:r>
      <w:r w:rsidR="007E2D89" w:rsidRPr="00345528">
        <w:rPr>
          <w:shd w:val="clear" w:color="auto" w:fill="FFFFFF"/>
        </w:rPr>
        <w:t>Los artículos originales deben seguir el formato IMRED: Introducción, Materiales y Métodos, Resultados, Discusión y Conclusiones.</w:t>
      </w:r>
    </w:p>
    <w:p w:rsidR="00B723BE" w:rsidRPr="00345528" w:rsidRDefault="00B264AF" w:rsidP="007141DB">
      <w:pPr>
        <w:ind w:left="635"/>
        <w:jc w:val="both"/>
        <w:rPr>
          <w:lang w:val="es-ES"/>
        </w:rPr>
      </w:pPr>
      <w:r w:rsidRPr="00345528">
        <w:rPr>
          <w:lang w:val="es-ES"/>
        </w:rPr>
        <w:t>L</w:t>
      </w:r>
      <w:r w:rsidR="00A302B9" w:rsidRPr="00345528">
        <w:rPr>
          <w:lang w:val="es-ES"/>
        </w:rPr>
        <w:t xml:space="preserve">os artículos originales y los casos clínicos </w:t>
      </w:r>
      <w:r w:rsidRPr="00345528">
        <w:rPr>
          <w:lang w:val="es-ES"/>
        </w:rPr>
        <w:t xml:space="preserve">deberán </w:t>
      </w:r>
      <w:r w:rsidR="00A302B9" w:rsidRPr="00345528">
        <w:rPr>
          <w:lang w:val="es-ES"/>
        </w:rPr>
        <w:t>s</w:t>
      </w:r>
      <w:r w:rsidRPr="00345528">
        <w:rPr>
          <w:lang w:val="es-ES"/>
        </w:rPr>
        <w:t xml:space="preserve">eguir </w:t>
      </w:r>
      <w:r w:rsidR="00A302B9" w:rsidRPr="00345528">
        <w:rPr>
          <w:lang w:val="es-ES"/>
        </w:rPr>
        <w:t xml:space="preserve">las guías de publicación de la Red </w:t>
      </w:r>
      <w:proofErr w:type="spellStart"/>
      <w:r w:rsidR="00A302B9" w:rsidRPr="00345528">
        <w:rPr>
          <w:lang w:val="es-ES"/>
        </w:rPr>
        <w:t>Equator</w:t>
      </w:r>
      <w:proofErr w:type="spellEnd"/>
      <w:r w:rsidR="00A302B9" w:rsidRPr="00345528">
        <w:rPr>
          <w:lang w:val="es-ES"/>
        </w:rPr>
        <w:t xml:space="preserve"> según el tipo de estudio (http://www.equator-network.org). Para mayor información sobre estas secciones, consultar las recomendaciones del Comité Internacional de Editores de Revistas Médicas (ICMJE, por su sigla en inglés), sección “Preparación del manuscrito”, disponibles en http://www.icmje.org/recommendations/. </w:t>
      </w:r>
      <w:r w:rsidRPr="00345528">
        <w:rPr>
          <w:lang w:val="es-ES"/>
        </w:rPr>
        <w:t xml:space="preserve">Los artículos de revisión incluirán </w:t>
      </w:r>
      <w:r w:rsidR="007B14E3" w:rsidRPr="00345528">
        <w:rPr>
          <w:lang w:val="es-ES"/>
        </w:rPr>
        <w:t xml:space="preserve">una </w:t>
      </w:r>
      <w:r w:rsidRPr="00345528">
        <w:rPr>
          <w:lang w:val="es-ES"/>
        </w:rPr>
        <w:t xml:space="preserve">introducción </w:t>
      </w:r>
      <w:r w:rsidR="007B14E3" w:rsidRPr="00345528">
        <w:rPr>
          <w:lang w:val="es-ES"/>
        </w:rPr>
        <w:t xml:space="preserve">seguida por </w:t>
      </w:r>
      <w:r w:rsidRPr="00345528">
        <w:rPr>
          <w:lang w:val="es-ES"/>
        </w:rPr>
        <w:t>las secciones que permitan desarrollar el tema y finalizar con conclusiones.</w:t>
      </w:r>
    </w:p>
    <w:p w:rsidR="007141DB" w:rsidRPr="00345528" w:rsidRDefault="007141DB" w:rsidP="007141DB">
      <w:pPr>
        <w:ind w:left="635"/>
        <w:jc w:val="both"/>
        <w:rPr>
          <w:lang w:val="es-ES"/>
        </w:rPr>
      </w:pPr>
    </w:p>
    <w:p w:rsidR="00B264AF" w:rsidRPr="00345528" w:rsidRDefault="00A302B9" w:rsidP="007141DB">
      <w:pPr>
        <w:ind w:left="635"/>
        <w:jc w:val="both"/>
        <w:rPr>
          <w:lang w:val="es-ES"/>
        </w:rPr>
      </w:pPr>
      <w:r w:rsidRPr="00345528">
        <w:rPr>
          <w:lang w:val="es-ES"/>
        </w:rPr>
        <w:t xml:space="preserve">Al final de los artículos </w:t>
      </w:r>
      <w:r w:rsidR="00E11904" w:rsidRPr="00345528">
        <w:rPr>
          <w:lang w:val="es-ES"/>
        </w:rPr>
        <w:t xml:space="preserve">(en especial de </w:t>
      </w:r>
      <w:r w:rsidR="00B264AF" w:rsidRPr="00345528">
        <w:rPr>
          <w:lang w:val="es-ES"/>
        </w:rPr>
        <w:t>originales y reportes de caso</w:t>
      </w:r>
      <w:r w:rsidR="00E11904" w:rsidRPr="00345528">
        <w:rPr>
          <w:lang w:val="es-ES"/>
        </w:rPr>
        <w:t>)</w:t>
      </w:r>
      <w:r w:rsidR="00B264AF" w:rsidRPr="00345528">
        <w:rPr>
          <w:lang w:val="es-ES"/>
        </w:rPr>
        <w:t xml:space="preserve"> </w:t>
      </w:r>
      <w:r w:rsidRPr="00345528">
        <w:rPr>
          <w:lang w:val="es-ES"/>
        </w:rPr>
        <w:t>se deben incluir cuatro secciones adicionales:</w:t>
      </w:r>
    </w:p>
    <w:p w:rsidR="007B14E3" w:rsidRPr="00345528" w:rsidRDefault="00A302B9" w:rsidP="007B14E3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345528">
        <w:rPr>
          <w:lang w:val="es-ES"/>
        </w:rPr>
        <w:t>Agradecimientos</w:t>
      </w:r>
      <w:r w:rsidR="007141DB" w:rsidRPr="00345528">
        <w:rPr>
          <w:lang w:val="es-ES"/>
        </w:rPr>
        <w:t xml:space="preserve"> </w:t>
      </w:r>
      <w:r w:rsidR="00B264AF" w:rsidRPr="00345528">
        <w:rPr>
          <w:lang w:val="es-ES"/>
        </w:rPr>
        <w:t>(</w:t>
      </w:r>
      <w:r w:rsidRPr="00345528">
        <w:rPr>
          <w:lang w:val="es-ES"/>
        </w:rPr>
        <w:t>opcional</w:t>
      </w:r>
      <w:r w:rsidR="00B264AF" w:rsidRPr="00345528">
        <w:rPr>
          <w:lang w:val="es-ES"/>
        </w:rPr>
        <w:t>)</w:t>
      </w:r>
      <w:r w:rsidR="007141DB" w:rsidRPr="00345528">
        <w:rPr>
          <w:lang w:val="es-ES"/>
        </w:rPr>
        <w:t>:</w:t>
      </w:r>
      <w:r w:rsidRPr="00345528">
        <w:rPr>
          <w:lang w:val="es-ES"/>
        </w:rPr>
        <w:t xml:space="preserve"> se usa para reconocer a las personas que dieron importantes aportes al manuscrito sin cumplir con los criterios de autoría.</w:t>
      </w:r>
    </w:p>
    <w:p w:rsidR="007B14E3" w:rsidRPr="00345528" w:rsidRDefault="00A302B9" w:rsidP="007B14E3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345528">
        <w:rPr>
          <w:lang w:val="es-ES"/>
        </w:rPr>
        <w:t>Aspectos éticos</w:t>
      </w:r>
      <w:r w:rsidR="007B14E3" w:rsidRPr="00345528">
        <w:rPr>
          <w:lang w:val="es-ES"/>
        </w:rPr>
        <w:t xml:space="preserve">: </w:t>
      </w:r>
      <w:r w:rsidRPr="00345528">
        <w:rPr>
          <w:lang w:val="es-ES"/>
        </w:rPr>
        <w:t xml:space="preserve"> </w:t>
      </w:r>
      <w:r w:rsidR="007B14E3" w:rsidRPr="00345528">
        <w:rPr>
          <w:lang w:val="es-ES"/>
        </w:rPr>
        <w:t xml:space="preserve">esta Revista sigue las recomendaciones del </w:t>
      </w:r>
      <w:hyperlink r:id="rId7" w:history="1">
        <w:proofErr w:type="spellStart"/>
        <w:r w:rsidR="007B14E3" w:rsidRPr="00345528">
          <w:rPr>
            <w:lang w:val="es-ES"/>
          </w:rPr>
          <w:t>Committee</w:t>
        </w:r>
        <w:proofErr w:type="spellEnd"/>
        <w:r w:rsidR="007B14E3" w:rsidRPr="00345528">
          <w:rPr>
            <w:lang w:val="es-ES"/>
          </w:rPr>
          <w:t xml:space="preserve"> </w:t>
        </w:r>
        <w:proofErr w:type="spellStart"/>
        <w:r w:rsidR="007B14E3" w:rsidRPr="00345528">
          <w:rPr>
            <w:lang w:val="es-ES"/>
          </w:rPr>
          <w:t>on</w:t>
        </w:r>
        <w:proofErr w:type="spellEnd"/>
        <w:r w:rsidR="007B14E3" w:rsidRPr="00345528">
          <w:rPr>
            <w:lang w:val="es-ES"/>
          </w:rPr>
          <w:t xml:space="preserve"> </w:t>
        </w:r>
        <w:proofErr w:type="spellStart"/>
        <w:r w:rsidR="007B14E3" w:rsidRPr="00345528">
          <w:rPr>
            <w:lang w:val="es-ES"/>
          </w:rPr>
          <w:t>Publication</w:t>
        </w:r>
        <w:proofErr w:type="spellEnd"/>
        <w:r w:rsidR="007B14E3" w:rsidRPr="00345528">
          <w:rPr>
            <w:lang w:val="es-ES"/>
          </w:rPr>
          <w:t xml:space="preserve"> </w:t>
        </w:r>
        <w:proofErr w:type="spellStart"/>
        <w:r w:rsidR="007B14E3" w:rsidRPr="00345528">
          <w:rPr>
            <w:lang w:val="es-ES"/>
          </w:rPr>
          <w:t>Ethics</w:t>
        </w:r>
        <w:proofErr w:type="spellEnd"/>
        <w:r w:rsidR="007B14E3" w:rsidRPr="00345528">
          <w:rPr>
            <w:lang w:val="es-ES"/>
          </w:rPr>
          <w:t xml:space="preserve"> (COPE)</w:t>
        </w:r>
      </w:hyperlink>
      <w:r w:rsidR="007B14E3" w:rsidRPr="00345528">
        <w:rPr>
          <w:lang w:val="es-ES"/>
        </w:rPr>
        <w:t xml:space="preserve">. </w:t>
      </w:r>
      <w:r w:rsidR="00E5340E" w:rsidRPr="00345528">
        <w:rPr>
          <w:lang w:val="es-ES"/>
        </w:rPr>
        <w:t>En investigación con seres humanos</w:t>
      </w:r>
      <w:r w:rsidR="007B14E3" w:rsidRPr="00345528">
        <w:rPr>
          <w:lang w:val="es-ES"/>
        </w:rPr>
        <w:t xml:space="preserve"> se debe</w:t>
      </w:r>
      <w:r w:rsidR="00E5340E" w:rsidRPr="00345528">
        <w:rPr>
          <w:lang w:val="es-ES"/>
        </w:rPr>
        <w:t>n</w:t>
      </w:r>
      <w:r w:rsidR="007B14E3" w:rsidRPr="00345528">
        <w:rPr>
          <w:lang w:val="es-ES"/>
        </w:rPr>
        <w:t xml:space="preserve"> indicar los procedimientos realizados acorde a los estándares del Comité de Ética que avaló el trabajo. </w:t>
      </w:r>
      <w:r w:rsidR="00E5340E" w:rsidRPr="00345528">
        <w:rPr>
          <w:lang w:val="es-ES"/>
        </w:rPr>
        <w:t>S</w:t>
      </w:r>
      <w:r w:rsidR="007B14E3" w:rsidRPr="00345528">
        <w:rPr>
          <w:lang w:val="es-ES"/>
        </w:rPr>
        <w:t xml:space="preserve">e recomienda </w:t>
      </w:r>
      <w:r w:rsidR="00E5340E" w:rsidRPr="00345528">
        <w:rPr>
          <w:lang w:val="es-ES"/>
        </w:rPr>
        <w:t xml:space="preserve">considerar la Declaración de Helsinki y </w:t>
      </w:r>
      <w:r w:rsidR="007B14E3" w:rsidRPr="00345528">
        <w:rPr>
          <w:lang w:val="es-ES"/>
        </w:rPr>
        <w:t xml:space="preserve">las Normas Científicas, Técnicas y Administrativas para la Investigación en Salud de la Resolución 008430 del 04 de octubre de 1993 del Ministerio de Salud de la República de Colombia o </w:t>
      </w:r>
      <w:r w:rsidR="00E5340E" w:rsidRPr="00345528">
        <w:rPr>
          <w:lang w:val="es-ES"/>
        </w:rPr>
        <w:t>la que corresponda al</w:t>
      </w:r>
      <w:r w:rsidR="007B14E3" w:rsidRPr="00345528">
        <w:rPr>
          <w:lang w:val="es-ES"/>
        </w:rPr>
        <w:t xml:space="preserve"> </w:t>
      </w:r>
      <w:r w:rsidR="00E5340E" w:rsidRPr="00345528">
        <w:rPr>
          <w:lang w:val="es-ES"/>
        </w:rPr>
        <w:t>país</w:t>
      </w:r>
      <w:r w:rsidR="007B14E3" w:rsidRPr="00345528">
        <w:rPr>
          <w:lang w:val="es-ES"/>
        </w:rPr>
        <w:t xml:space="preserve"> de origen. En todo caso, al final de la sección de materiales y métodos debe informarse el tipo de consentimiento informado que se obtuvo y el nombre del Comité de Ética que aprobó el estudio.</w:t>
      </w:r>
    </w:p>
    <w:p w:rsidR="00B264AF" w:rsidRPr="00345528" w:rsidRDefault="00A302B9" w:rsidP="00CC2DA7">
      <w:pPr>
        <w:pStyle w:val="Prrafodelista"/>
        <w:numPr>
          <w:ilvl w:val="0"/>
          <w:numId w:val="3"/>
        </w:numPr>
        <w:ind w:hanging="359"/>
        <w:jc w:val="both"/>
        <w:rPr>
          <w:lang w:val="es-ES"/>
        </w:rPr>
      </w:pPr>
      <w:r w:rsidRPr="00345528">
        <w:rPr>
          <w:lang w:val="es-ES"/>
        </w:rPr>
        <w:t>Fuente de financiación</w:t>
      </w:r>
      <w:r w:rsidR="007B14E3" w:rsidRPr="00345528">
        <w:rPr>
          <w:lang w:val="es-ES"/>
        </w:rPr>
        <w:t xml:space="preserve">: se indicará los nombres de las instituciones que aportaron económicamente en el desarrollo de la investigación que dio origen al artículo. </w:t>
      </w:r>
    </w:p>
    <w:p w:rsidR="00A302B9" w:rsidRPr="00345528" w:rsidRDefault="00A302B9" w:rsidP="007141DB">
      <w:pPr>
        <w:pStyle w:val="Prrafodelista"/>
        <w:numPr>
          <w:ilvl w:val="0"/>
          <w:numId w:val="3"/>
        </w:numPr>
        <w:ind w:hanging="359"/>
        <w:jc w:val="both"/>
        <w:rPr>
          <w:lang w:val="es-ES"/>
        </w:rPr>
      </w:pPr>
      <w:r w:rsidRPr="00345528">
        <w:rPr>
          <w:lang w:val="es-ES"/>
        </w:rPr>
        <w:t>Conflictos de interés: breve resumen de los potenciales conflictos de interés identificados a partir de la declaración hecha para la carta de presentación.</w:t>
      </w:r>
    </w:p>
    <w:p w:rsidR="00B264AF" w:rsidRPr="00345528" w:rsidRDefault="00B264AF" w:rsidP="007141DB">
      <w:pPr>
        <w:ind w:left="635"/>
        <w:jc w:val="both"/>
        <w:rPr>
          <w:lang w:val="es-ES"/>
        </w:rPr>
      </w:pPr>
    </w:p>
    <w:p w:rsidR="00B264AF" w:rsidRPr="00345528" w:rsidRDefault="00A302B9" w:rsidP="007141DB">
      <w:pPr>
        <w:ind w:left="635"/>
        <w:jc w:val="both"/>
        <w:rPr>
          <w:lang w:val="es-ES"/>
        </w:rPr>
      </w:pPr>
      <w:r w:rsidRPr="00345528">
        <w:rPr>
          <w:b/>
          <w:bCs/>
          <w:lang w:val="es-ES"/>
        </w:rPr>
        <w:t>Referencias</w:t>
      </w:r>
      <w:r w:rsidRPr="00345528">
        <w:rPr>
          <w:lang w:val="es-ES"/>
        </w:rPr>
        <w:t xml:space="preserve">: </w:t>
      </w:r>
    </w:p>
    <w:p w:rsidR="00B264AF" w:rsidRPr="00345528" w:rsidRDefault="00B264AF" w:rsidP="007141DB">
      <w:pPr>
        <w:ind w:left="635"/>
        <w:jc w:val="both"/>
        <w:rPr>
          <w:lang w:val="es-ES"/>
        </w:rPr>
      </w:pPr>
    </w:p>
    <w:p w:rsidR="0073240E" w:rsidRPr="00345528" w:rsidRDefault="00B264AF" w:rsidP="00442B3B">
      <w:pPr>
        <w:ind w:left="635"/>
        <w:jc w:val="both"/>
        <w:rPr>
          <w:lang w:val="es-ES"/>
        </w:rPr>
      </w:pPr>
      <w:r w:rsidRPr="00345528">
        <w:rPr>
          <w:lang w:val="es-ES"/>
        </w:rPr>
        <w:t>S</w:t>
      </w:r>
      <w:r w:rsidR="00A302B9" w:rsidRPr="00345528">
        <w:rPr>
          <w:lang w:val="es-ES"/>
        </w:rPr>
        <w:t>e debe usar el formato Vancouver</w:t>
      </w:r>
      <w:r w:rsidR="001A0BF2" w:rsidRPr="00345528">
        <w:rPr>
          <w:lang w:val="es-ES"/>
        </w:rPr>
        <w:t>. La citación en el texto mediante números arábigos consecutivos en superíndice según el orden de aparición en el texto</w:t>
      </w:r>
      <w:r w:rsidR="00A302B9" w:rsidRPr="00345528">
        <w:rPr>
          <w:lang w:val="es-ES"/>
        </w:rPr>
        <w:t xml:space="preserve">, generadas </w:t>
      </w:r>
      <w:r w:rsidR="00A302B9" w:rsidRPr="00345528">
        <w:rPr>
          <w:lang w:val="es-ES"/>
        </w:rPr>
        <w:lastRenderedPageBreak/>
        <w:t>idealmente por un software de citación</w:t>
      </w:r>
      <w:r w:rsidRPr="00345528">
        <w:rPr>
          <w:lang w:val="es-ES"/>
        </w:rPr>
        <w:t xml:space="preserve"> o gestor bibliográfico</w:t>
      </w:r>
      <w:r w:rsidR="00A302B9" w:rsidRPr="00345528">
        <w:rPr>
          <w:lang w:val="es-ES"/>
        </w:rPr>
        <w:t xml:space="preserve">. </w:t>
      </w:r>
      <w:r w:rsidR="00042BF5" w:rsidRPr="00345528">
        <w:rPr>
          <w:lang w:val="es-ES"/>
        </w:rPr>
        <w:t>Debe incluir al final de cada referencia el DOI del documento.</w:t>
      </w:r>
    </w:p>
    <w:p w:rsidR="001A0BF2" w:rsidRPr="00345528" w:rsidRDefault="001A0BF2" w:rsidP="0007691B">
      <w:pPr>
        <w:jc w:val="both"/>
        <w:rPr>
          <w:lang w:val="es-ES"/>
        </w:rPr>
      </w:pPr>
    </w:p>
    <w:p w:rsidR="00163C4A" w:rsidRPr="00345528" w:rsidRDefault="00A302B9" w:rsidP="00163C4A">
      <w:pPr>
        <w:ind w:left="635"/>
        <w:jc w:val="both"/>
        <w:rPr>
          <w:lang w:val="es-ES"/>
        </w:rPr>
      </w:pPr>
      <w:r w:rsidRPr="00345528">
        <w:rPr>
          <w:lang w:val="es-ES"/>
        </w:rPr>
        <w:t xml:space="preserve">Existe un listado exhaustivo de ejemplos en </w:t>
      </w:r>
      <w:hyperlink r:id="rId8" w:history="1">
        <w:r w:rsidR="00B264AF" w:rsidRPr="00345528">
          <w:rPr>
            <w:rStyle w:val="Hipervnculo"/>
            <w:lang w:val="es-ES"/>
          </w:rPr>
          <w:t>https://www.nlm.nih.gov/bsd/uniform_requirements.html</w:t>
        </w:r>
      </w:hyperlink>
      <w:r w:rsidR="00B264AF" w:rsidRPr="00345528">
        <w:rPr>
          <w:lang w:val="es-ES"/>
        </w:rPr>
        <w:t xml:space="preserve">. </w:t>
      </w:r>
      <w:r w:rsidRPr="00345528">
        <w:rPr>
          <w:lang w:val="es-ES"/>
        </w:rPr>
        <w:t xml:space="preserve">Para información detallada sobre cómo citar fuentes inusuales, como bases de datos y páginas web, consultar el libro </w:t>
      </w:r>
      <w:proofErr w:type="spellStart"/>
      <w:r w:rsidRPr="00345528">
        <w:rPr>
          <w:i/>
          <w:lang w:val="es-ES"/>
        </w:rPr>
        <w:t>Citing</w:t>
      </w:r>
      <w:proofErr w:type="spellEnd"/>
      <w:r w:rsidRPr="00345528">
        <w:rPr>
          <w:i/>
          <w:lang w:val="es-ES"/>
        </w:rPr>
        <w:t xml:space="preserve"> medicine,</w:t>
      </w:r>
      <w:r w:rsidRPr="00345528">
        <w:rPr>
          <w:lang w:val="es-ES"/>
        </w:rPr>
        <w:t xml:space="preserve"> disponible en </w:t>
      </w:r>
      <w:hyperlink r:id="rId9" w:history="1">
        <w:r w:rsidR="00B264AF" w:rsidRPr="00345528">
          <w:rPr>
            <w:rStyle w:val="Hipervnculo"/>
            <w:lang w:val="es-ES"/>
          </w:rPr>
          <w:t>http://www.ncbi.nlm.nih.gov/books/NBK7256/</w:t>
        </w:r>
      </w:hyperlink>
    </w:p>
    <w:p w:rsidR="00163C4A" w:rsidRPr="00345528" w:rsidRDefault="00163C4A" w:rsidP="00163C4A">
      <w:pPr>
        <w:ind w:left="635"/>
        <w:jc w:val="both"/>
        <w:rPr>
          <w:lang w:val="es-ES"/>
        </w:rPr>
      </w:pPr>
    </w:p>
    <w:p w:rsidR="00163C4A" w:rsidRPr="00345528" w:rsidRDefault="00163C4A" w:rsidP="00163C4A">
      <w:pPr>
        <w:ind w:left="635"/>
        <w:jc w:val="both"/>
        <w:rPr>
          <w:lang w:val="es-ES"/>
        </w:rPr>
      </w:pPr>
      <w:r w:rsidRPr="00345528">
        <w:rPr>
          <w:lang w:val="es-ES"/>
        </w:rPr>
        <w:t xml:space="preserve">A </w:t>
      </w:r>
      <w:r w:rsidR="0007691B" w:rsidRPr="00345528">
        <w:rPr>
          <w:lang w:val="es-ES"/>
        </w:rPr>
        <w:t>continuación,</w:t>
      </w:r>
      <w:r w:rsidRPr="00345528">
        <w:rPr>
          <w:lang w:val="es-ES"/>
        </w:rPr>
        <w:t xml:space="preserve"> se ejemplifican </w:t>
      </w:r>
      <w:r w:rsidR="0007691B" w:rsidRPr="00345528">
        <w:rPr>
          <w:lang w:val="es-ES"/>
        </w:rPr>
        <w:t xml:space="preserve">algunos de </w:t>
      </w:r>
      <w:r w:rsidRPr="00345528">
        <w:rPr>
          <w:lang w:val="es-ES"/>
        </w:rPr>
        <w:t>los casos más comunes:</w:t>
      </w:r>
    </w:p>
    <w:p w:rsidR="00163C4A" w:rsidRPr="00345528" w:rsidRDefault="00163C4A" w:rsidP="00163C4A">
      <w:pPr>
        <w:ind w:left="635"/>
        <w:jc w:val="both"/>
        <w:rPr>
          <w:lang w:val="es-ES"/>
        </w:rPr>
      </w:pPr>
    </w:p>
    <w:p w:rsidR="00163C4A" w:rsidRPr="00345528" w:rsidRDefault="00163C4A" w:rsidP="00163C4A">
      <w:pPr>
        <w:ind w:left="635"/>
        <w:jc w:val="both"/>
        <w:rPr>
          <w:lang w:val="es-ES"/>
        </w:rPr>
      </w:pPr>
      <w:r w:rsidRPr="00345528">
        <w:rPr>
          <w:lang w:val="es-ES"/>
        </w:rPr>
        <w:t>Artículo:</w:t>
      </w:r>
    </w:p>
    <w:p w:rsidR="00163C4A" w:rsidRPr="00345528" w:rsidRDefault="004D7A5B" w:rsidP="0007691B">
      <w:pPr>
        <w:pStyle w:val="Prrafodelista"/>
        <w:numPr>
          <w:ilvl w:val="0"/>
          <w:numId w:val="8"/>
        </w:numPr>
        <w:spacing w:before="100" w:beforeAutospacing="1" w:after="100" w:afterAutospacing="1"/>
        <w:rPr>
          <w:lang w:val="es-ES"/>
        </w:rPr>
      </w:pPr>
      <w:r w:rsidRPr="00345528">
        <w:rPr>
          <w:rFonts w:eastAsia="Arial"/>
          <w:bCs/>
          <w:color w:val="000000"/>
          <w:lang w:val="en-US"/>
        </w:rPr>
        <w:t xml:space="preserve">Buttar A, Mittal K, Khan A, </w:t>
      </w:r>
      <w:proofErr w:type="spellStart"/>
      <w:r w:rsidRPr="00345528">
        <w:rPr>
          <w:rFonts w:eastAsia="Arial"/>
          <w:bCs/>
          <w:color w:val="000000"/>
          <w:lang w:val="en-US"/>
        </w:rPr>
        <w:t>Bathini</w:t>
      </w:r>
      <w:proofErr w:type="spellEnd"/>
      <w:r w:rsidRPr="00345528">
        <w:rPr>
          <w:rFonts w:eastAsia="Arial"/>
          <w:bCs/>
          <w:color w:val="000000"/>
          <w:lang w:val="en-US"/>
        </w:rPr>
        <w:t xml:space="preserve"> V. Effective Role of Hormonal Therapy in Metastatic Primary Neuroendocrine Breast Carcinoma. Clin Breast Cancer. 2011 Oct;11(5):342-5. </w:t>
      </w:r>
      <w:hyperlink r:id="rId10" w:history="1">
        <w:r w:rsidRPr="00345528">
          <w:rPr>
            <w:rStyle w:val="Hipervnculo"/>
            <w:rFonts w:eastAsia="Arial"/>
            <w:bCs/>
            <w:lang w:val="en-US"/>
          </w:rPr>
          <w:t>https://doi.org/10.1016/j.clbc.2011.02.006</w:t>
        </w:r>
      </w:hyperlink>
    </w:p>
    <w:p w:rsidR="0007691B" w:rsidRPr="00345528" w:rsidRDefault="0007691B" w:rsidP="00163C4A">
      <w:pPr>
        <w:spacing w:before="100" w:beforeAutospacing="1" w:after="100" w:afterAutospacing="1"/>
        <w:ind w:left="635"/>
        <w:rPr>
          <w:lang w:val="es-ES"/>
        </w:rPr>
      </w:pPr>
      <w:r w:rsidRPr="00345528">
        <w:rPr>
          <w:lang w:val="es-ES"/>
        </w:rPr>
        <w:t>Artículo con más de seis autores:</w:t>
      </w:r>
    </w:p>
    <w:p w:rsidR="0007691B" w:rsidRPr="00345528" w:rsidRDefault="004D7A5B" w:rsidP="004D7A5B">
      <w:pPr>
        <w:pStyle w:val="Prrafodelista"/>
        <w:numPr>
          <w:ilvl w:val="0"/>
          <w:numId w:val="9"/>
        </w:numPr>
        <w:jc w:val="both"/>
        <w:rPr>
          <w:rFonts w:eastAsia="Arial"/>
          <w:bCs/>
          <w:color w:val="000000"/>
        </w:rPr>
      </w:pPr>
      <w:r w:rsidRPr="00345528">
        <w:rPr>
          <w:rFonts w:eastAsia="Arial"/>
          <w:bCs/>
          <w:color w:val="000000"/>
        </w:rPr>
        <w:t xml:space="preserve">Savelli G, Zaniboni A, Bertagna F, Bosio G, Nisa L, et al. </w:t>
      </w:r>
      <w:r w:rsidRPr="00345528">
        <w:rPr>
          <w:rFonts w:eastAsia="Arial"/>
          <w:bCs/>
          <w:color w:val="000000"/>
          <w:lang w:val="en-US"/>
        </w:rPr>
        <w:t xml:space="preserve">Peptide receptor radionuclide therapy (PRRT) in a patient affected by metastatic breast cancer with neuroendocrine differentiation. </w:t>
      </w:r>
      <w:r w:rsidRPr="00345528">
        <w:rPr>
          <w:rFonts w:eastAsia="Arial"/>
          <w:bCs/>
          <w:color w:val="000000"/>
        </w:rPr>
        <w:t xml:space="preserve">Breast Care (Basel) 2012;7: 408–410. </w:t>
      </w:r>
      <w:r w:rsidR="004605BF">
        <w:fldChar w:fldCharType="begin"/>
      </w:r>
      <w:r w:rsidR="004605BF">
        <w:instrText xml:space="preserve"> HYPERLINK "https://doi.org/10.1159/000343612" </w:instrText>
      </w:r>
      <w:r w:rsidR="004605BF">
        <w:fldChar w:fldCharType="separate"/>
      </w:r>
      <w:r w:rsidRPr="00345528">
        <w:rPr>
          <w:rStyle w:val="Hipervnculo"/>
          <w:rFonts w:eastAsia="Arial"/>
          <w:bCs/>
        </w:rPr>
        <w:t>https://doi.org/10.1159/000343612</w:t>
      </w:r>
      <w:r w:rsidR="004605BF">
        <w:rPr>
          <w:rStyle w:val="Hipervnculo"/>
          <w:rFonts w:eastAsia="Arial"/>
          <w:bCs/>
        </w:rPr>
        <w:fldChar w:fldCharType="end"/>
      </w:r>
      <w:r w:rsidRPr="00345528">
        <w:rPr>
          <w:rFonts w:eastAsia="Arial"/>
          <w:bCs/>
          <w:color w:val="000000"/>
        </w:rPr>
        <w:t xml:space="preserve">  </w:t>
      </w:r>
    </w:p>
    <w:p w:rsidR="00BC6679" w:rsidRPr="00345528" w:rsidRDefault="00BC6679" w:rsidP="00BC6679">
      <w:pPr>
        <w:spacing w:before="100" w:beforeAutospacing="1" w:after="100" w:afterAutospacing="1"/>
        <w:ind w:left="635"/>
        <w:rPr>
          <w:lang w:val="es-ES"/>
        </w:rPr>
      </w:pPr>
      <w:r w:rsidRPr="00345528">
        <w:rPr>
          <w:lang w:val="es-ES"/>
        </w:rPr>
        <w:t>Libro autor personal:</w:t>
      </w:r>
    </w:p>
    <w:p w:rsidR="00BC6679" w:rsidRPr="00345528" w:rsidRDefault="00BC6679" w:rsidP="00BC6679">
      <w:pPr>
        <w:pStyle w:val="Prrafodelista"/>
        <w:numPr>
          <w:ilvl w:val="0"/>
          <w:numId w:val="10"/>
        </w:numPr>
        <w:rPr>
          <w:noProof/>
          <w:lang w:val="en-US"/>
        </w:rPr>
      </w:pPr>
      <w:r w:rsidRPr="00345528">
        <w:rPr>
          <w:color w:val="000000"/>
          <w:shd w:val="clear" w:color="auto" w:fill="FFFFFF"/>
          <w:lang w:val="en-US"/>
        </w:rPr>
        <w:t xml:space="preserve">Eyre HJ, Lange DP, Morris LB. Informed decisions: the complete book of cancer diagnosis, treatment, and recovery. </w:t>
      </w:r>
      <w:r w:rsidRPr="00345528">
        <w:rPr>
          <w:color w:val="000000"/>
          <w:shd w:val="clear" w:color="auto" w:fill="FFFFFF"/>
        </w:rPr>
        <w:t>2nd ed. Atlanta: American Cancer Society; 2002. 768 p.</w:t>
      </w:r>
    </w:p>
    <w:p w:rsidR="00BC6679" w:rsidRPr="00345528" w:rsidRDefault="00A1641E" w:rsidP="00A1641E">
      <w:pPr>
        <w:spacing w:before="100" w:beforeAutospacing="1" w:after="100" w:afterAutospacing="1"/>
        <w:ind w:left="635"/>
      </w:pPr>
      <w:r w:rsidRPr="00345528">
        <w:t>Libro con editor y traductor:</w:t>
      </w:r>
    </w:p>
    <w:p w:rsidR="00A1641E" w:rsidRPr="00345528" w:rsidRDefault="00A1641E" w:rsidP="00A1641E">
      <w:pPr>
        <w:pStyle w:val="Prrafodelista"/>
        <w:numPr>
          <w:ilvl w:val="0"/>
          <w:numId w:val="11"/>
        </w:numPr>
        <w:rPr>
          <w:color w:val="000000"/>
          <w:shd w:val="clear" w:color="auto" w:fill="FFFFFF"/>
          <w:lang w:val="en-US"/>
        </w:rPr>
      </w:pPr>
      <w:r w:rsidRPr="00345528">
        <w:rPr>
          <w:color w:val="000000"/>
          <w:shd w:val="clear" w:color="auto" w:fill="FFFFFF"/>
          <w:lang w:val="en-US"/>
        </w:rPr>
        <w:t>Luzikov VN. Mitochondrial biogenesis and breakdown. </w:t>
      </w:r>
      <w:proofErr w:type="spellStart"/>
      <w:r w:rsidRPr="00345528">
        <w:rPr>
          <w:color w:val="000000"/>
          <w:shd w:val="clear" w:color="auto" w:fill="FFFFFF"/>
          <w:lang w:val="en-US"/>
        </w:rPr>
        <w:t>Galkin</w:t>
      </w:r>
      <w:proofErr w:type="spellEnd"/>
      <w:r w:rsidRPr="00345528">
        <w:rPr>
          <w:color w:val="000000"/>
          <w:shd w:val="clear" w:color="auto" w:fill="FFFFFF"/>
          <w:lang w:val="en-US"/>
        </w:rPr>
        <w:t xml:space="preserve"> AV, translator; </w:t>
      </w:r>
      <w:proofErr w:type="spellStart"/>
      <w:r w:rsidRPr="00345528">
        <w:rPr>
          <w:color w:val="000000"/>
          <w:shd w:val="clear" w:color="auto" w:fill="FFFFFF"/>
          <w:lang w:val="en-US"/>
        </w:rPr>
        <w:t>Roodyn</w:t>
      </w:r>
      <w:proofErr w:type="spellEnd"/>
      <w:r w:rsidRPr="00345528">
        <w:rPr>
          <w:color w:val="000000"/>
          <w:shd w:val="clear" w:color="auto" w:fill="FFFFFF"/>
          <w:lang w:val="en-US"/>
        </w:rPr>
        <w:t xml:space="preserve"> DB, editor. New York: Consultants Bureau; 1985. 362 p.</w:t>
      </w:r>
    </w:p>
    <w:p w:rsidR="00163C4A" w:rsidRPr="00345528" w:rsidRDefault="00163C4A" w:rsidP="00A1641E">
      <w:pPr>
        <w:jc w:val="both"/>
      </w:pPr>
    </w:p>
    <w:p w:rsidR="00A302B9" w:rsidRPr="00345528" w:rsidRDefault="00A302B9" w:rsidP="007141DB">
      <w:pPr>
        <w:ind w:left="635"/>
        <w:jc w:val="both"/>
        <w:rPr>
          <w:lang w:val="es-ES"/>
        </w:rPr>
      </w:pPr>
      <w:r w:rsidRPr="00345528">
        <w:rPr>
          <w:b/>
          <w:bCs/>
          <w:lang w:val="es-ES"/>
        </w:rPr>
        <w:t>Tablas</w:t>
      </w:r>
      <w:r w:rsidRPr="00345528">
        <w:rPr>
          <w:lang w:val="es-ES"/>
        </w:rPr>
        <w:t>: se usan para presentar con exactitud datos repetitivos que tomarían demasiado texto para su descripción. Deben numerarse en orden de citación usando números arábigos, tener un título corto y autosuficiente, y un pie de tabla con notas relevantes y la explicación de las siglas usadas. Se deben crear usando la opción de tabla de un procesador de texto; no se aceptarán tablas que separen sus columnas con tabulaciones o espacios introducidos manualmente.</w:t>
      </w:r>
    </w:p>
    <w:p w:rsidR="00B264AF" w:rsidRPr="00345528" w:rsidRDefault="00B264AF" w:rsidP="007141DB">
      <w:pPr>
        <w:ind w:left="635"/>
        <w:jc w:val="both"/>
        <w:rPr>
          <w:lang w:val="es-ES"/>
        </w:rPr>
      </w:pPr>
    </w:p>
    <w:p w:rsidR="00A302B9" w:rsidRPr="00345528" w:rsidRDefault="00A302B9" w:rsidP="007141DB">
      <w:pPr>
        <w:ind w:left="635"/>
        <w:jc w:val="both"/>
        <w:rPr>
          <w:lang w:val="es-ES"/>
        </w:rPr>
      </w:pPr>
      <w:r w:rsidRPr="00345528">
        <w:rPr>
          <w:b/>
          <w:bCs/>
          <w:lang w:val="es-ES"/>
        </w:rPr>
        <w:t>Figuras:</w:t>
      </w:r>
      <w:r w:rsidRPr="00345528">
        <w:rPr>
          <w:lang w:val="es-ES"/>
        </w:rPr>
        <w:t xml:space="preserve"> se usan para visualizar datos repetitivos de forma que se permitan evidenciar tendencias o generar conclusiones fácilmente. También se permiten esquemas o fotografías relevantes a la investigación. Deben numerarse en orden de citación usando números arábigos, tener un título corto y autosuficiente, y un pie de figura con notas relevantes y una leyenda con la explicación de los símbolos usados. Una vez aceptado el manuscrito para publicación, se deberán enviar los archivos originales en alta </w:t>
      </w:r>
      <w:r w:rsidRPr="00345528">
        <w:rPr>
          <w:lang w:val="es-ES"/>
        </w:rPr>
        <w:lastRenderedPageBreak/>
        <w:t>resolución (mínimo 300 dpi), en formato TIFF, JPEG o EPS y esquema de colores CMYK.</w:t>
      </w:r>
    </w:p>
    <w:p w:rsidR="007141DB" w:rsidRPr="00345528" w:rsidRDefault="007141DB" w:rsidP="007141DB">
      <w:pPr>
        <w:pStyle w:val="NormalWeb"/>
        <w:rPr>
          <w:b/>
          <w:bCs/>
          <w:color w:val="AD0C07"/>
        </w:rPr>
      </w:pPr>
      <w:r w:rsidRPr="00345528">
        <w:rPr>
          <w:b/>
          <w:bCs/>
          <w:color w:val="AD0C07"/>
        </w:rPr>
        <w:t>Material suplementario</w:t>
      </w:r>
    </w:p>
    <w:p w:rsidR="007141DB" w:rsidRPr="00345528" w:rsidRDefault="007141DB" w:rsidP="007141DB">
      <w:pPr>
        <w:jc w:val="both"/>
        <w:rPr>
          <w:lang w:val="es-ES"/>
        </w:rPr>
      </w:pPr>
      <w:r w:rsidRPr="00345528">
        <w:rPr>
          <w:lang w:val="es-ES"/>
        </w:rPr>
        <w:t>Los autores son bienvenidos a complementar su manuscrito con material adicional que, por motivos de espacio, especificidad o formato (audiovisuales o bases de datos), no pueda incluirse en el artículo, el cual estará disponible en su versión en línea. Para los ensayos clínicos y las revisiones sistemáticas, será obligatorio incluir los protocolos como material suplementario. El contenido adicional debe citarse en el texto del manuscrito (por ejemplo, “Ver material suplementario 1”) y adjuntarse como un archivo separado en el sometimiento. Al ser parte del manuscrito, el material suplementario debe cumplir con todas las condiciones técnicas, éticas, de autoría y de estilo. Su inclusión será a discreción del editor.</w:t>
      </w:r>
    </w:p>
    <w:p w:rsidR="007141DB" w:rsidRPr="00345528" w:rsidRDefault="007141DB" w:rsidP="007141DB">
      <w:pPr>
        <w:pStyle w:val="NormalWeb"/>
        <w:rPr>
          <w:b/>
          <w:bCs/>
          <w:color w:val="AD0C07"/>
        </w:rPr>
      </w:pPr>
      <w:r w:rsidRPr="00345528">
        <w:rPr>
          <w:b/>
          <w:bCs/>
          <w:color w:val="AD0C07"/>
        </w:rPr>
        <w:t>Sometimiento</w:t>
      </w:r>
    </w:p>
    <w:p w:rsidR="007E2D89" w:rsidRPr="00345528" w:rsidRDefault="007E2D89" w:rsidP="007E2D89">
      <w:pPr>
        <w:jc w:val="both"/>
        <w:rPr>
          <w:lang w:val="es-ES"/>
        </w:rPr>
      </w:pPr>
      <w:r w:rsidRPr="00345528">
        <w:rPr>
          <w:lang w:val="es-ES"/>
        </w:rPr>
        <w:t xml:space="preserve">Los autores deben someter sus artículos únicamente usando </w:t>
      </w:r>
      <w:r w:rsidRPr="00345528">
        <w:rPr>
          <w:u w:val="single"/>
          <w:lang w:val="es-ES"/>
        </w:rPr>
        <w:t>la plataforma de la revista</w:t>
      </w:r>
      <w:r w:rsidRPr="00345528">
        <w:rPr>
          <w:lang w:val="es-ES"/>
        </w:rPr>
        <w:t xml:space="preserve">. Para esto deben crear una cuenta de usuario por autor e iniciar sesión para acceder. La plataforma solicitará datos básicos del artículo y pedirá que se adjunten los archivos requeridos: manuscrito (con material suplementario si lo hubiere) y </w:t>
      </w:r>
      <w:r w:rsidRPr="00345528">
        <w:rPr>
          <w:u w:val="single"/>
          <w:lang w:val="es-ES"/>
        </w:rPr>
        <w:t>carta de sometimiento</w:t>
      </w:r>
      <w:r w:rsidR="00BC7F67" w:rsidRPr="00345528">
        <w:rPr>
          <w:u w:val="single"/>
          <w:lang w:val="es-ES"/>
        </w:rPr>
        <w:t xml:space="preserve"> según el formato establecido</w:t>
      </w:r>
      <w:r w:rsidRPr="00345528">
        <w:rPr>
          <w:lang w:val="es-ES"/>
        </w:rPr>
        <w:t>. Estos archivos serán requeridos para dar inicio al proceso editorial. Los autores podrán retirar su sometimiento antes de que este sea aceptado por la revista</w:t>
      </w:r>
      <w:r w:rsidR="0073240E" w:rsidRPr="00345528">
        <w:rPr>
          <w:lang w:val="es-ES"/>
        </w:rPr>
        <w:t xml:space="preserve"> mediante carta dirigida al editor indicando los motivos del retiro</w:t>
      </w:r>
      <w:r w:rsidRPr="00345528">
        <w:rPr>
          <w:lang w:val="es-ES"/>
        </w:rPr>
        <w:t>. Una vez el manuscrito sea enviado a revisión de estilo, los autores se comprometen a publicar en esta revista el material.</w:t>
      </w:r>
    </w:p>
    <w:p w:rsidR="00BC7F67" w:rsidRPr="00345528" w:rsidRDefault="00BC7F67" w:rsidP="00BC7F67">
      <w:pPr>
        <w:pStyle w:val="NormalWeb"/>
        <w:rPr>
          <w:b/>
          <w:bCs/>
          <w:color w:val="AD0C07"/>
        </w:rPr>
      </w:pPr>
      <w:r w:rsidRPr="00345528">
        <w:rPr>
          <w:b/>
          <w:bCs/>
          <w:color w:val="AD0C07"/>
        </w:rPr>
        <w:t>Lista de chequeo para preparación del envío</w:t>
      </w:r>
    </w:p>
    <w:p w:rsidR="003E37FB" w:rsidRPr="00345528" w:rsidRDefault="00BC7F67" w:rsidP="007141DB">
      <w:pPr>
        <w:pStyle w:val="NormalWeb"/>
        <w:jc w:val="both"/>
        <w:rPr>
          <w:lang w:val="es-ES"/>
        </w:rPr>
      </w:pPr>
      <w:r w:rsidRPr="00345528">
        <w:rPr>
          <w:lang w:val="es-ES"/>
        </w:rPr>
        <w:t>Es responsabilidad de los autores comprobar que su envío cumpla con todos los aspectos definidos por esta guía. Se devolverán a los autores aquellos envíos que no cumplan con las directrices.</w:t>
      </w:r>
    </w:p>
    <w:p w:rsidR="0073240E" w:rsidRPr="00345528" w:rsidRDefault="0073240E" w:rsidP="007141DB">
      <w:pPr>
        <w:pStyle w:val="NormalWeb"/>
        <w:jc w:val="both"/>
        <w:rPr>
          <w:lang w:val="es-ES"/>
        </w:rPr>
      </w:pPr>
      <w:r w:rsidRPr="00345528">
        <w:rPr>
          <w:lang w:val="es-ES"/>
        </w:rPr>
        <w:t>Chequee el material previo al envío mediante la siguiente lista:</w:t>
      </w:r>
    </w:p>
    <w:p w:rsidR="00BC7F67" w:rsidRPr="00345528" w:rsidRDefault="00BC7F67" w:rsidP="00BC7F67">
      <w:pPr>
        <w:pStyle w:val="NormalWeb"/>
        <w:numPr>
          <w:ilvl w:val="0"/>
          <w:numId w:val="4"/>
        </w:numPr>
        <w:jc w:val="both"/>
        <w:rPr>
          <w:lang w:val="es-ES"/>
        </w:rPr>
      </w:pPr>
      <w:r w:rsidRPr="00345528">
        <w:rPr>
          <w:lang w:val="es-ES"/>
        </w:rPr>
        <w:t>El artículo es original, no ha sido publicado previamente ni se ha postulado en simultáneo en otra revista.</w:t>
      </w:r>
    </w:p>
    <w:p w:rsidR="00BC7F67" w:rsidRPr="00345528" w:rsidRDefault="00BC7F67" w:rsidP="00BC7F67">
      <w:pPr>
        <w:pStyle w:val="NormalWeb"/>
        <w:numPr>
          <w:ilvl w:val="0"/>
          <w:numId w:val="4"/>
        </w:numPr>
        <w:jc w:val="both"/>
        <w:rPr>
          <w:lang w:val="es-ES"/>
        </w:rPr>
      </w:pPr>
      <w:r w:rsidRPr="00345528">
        <w:rPr>
          <w:lang w:val="es-ES"/>
        </w:rPr>
        <w:t>El archivo del manuscrito cumple con las características de formato en cuanto a hoja, márgenes, fuente, interlineado, extensión y adecuada redacción.</w:t>
      </w:r>
    </w:p>
    <w:p w:rsidR="001A0BF2" w:rsidRPr="00345528" w:rsidRDefault="001A0BF2" w:rsidP="00BC7F67">
      <w:pPr>
        <w:pStyle w:val="NormalWeb"/>
        <w:numPr>
          <w:ilvl w:val="0"/>
          <w:numId w:val="4"/>
        </w:numPr>
        <w:jc w:val="both"/>
        <w:rPr>
          <w:lang w:val="es-ES"/>
        </w:rPr>
      </w:pPr>
      <w:r w:rsidRPr="00345528">
        <w:rPr>
          <w:lang w:val="es-ES"/>
        </w:rPr>
        <w:t xml:space="preserve">Se han usado </w:t>
      </w:r>
      <w:r w:rsidR="000F6FE8" w:rsidRPr="00345528">
        <w:rPr>
          <w:lang w:val="es-ES"/>
        </w:rPr>
        <w:t xml:space="preserve">términos </w:t>
      </w:r>
      <w:proofErr w:type="spellStart"/>
      <w:r w:rsidRPr="00345528">
        <w:rPr>
          <w:lang w:val="es-ES"/>
        </w:rPr>
        <w:t>DeCS</w:t>
      </w:r>
      <w:proofErr w:type="spellEnd"/>
      <w:r w:rsidRPr="00345528">
        <w:rPr>
          <w:lang w:val="es-ES"/>
        </w:rPr>
        <w:t xml:space="preserve"> para las palabras clave y </w:t>
      </w:r>
      <w:proofErr w:type="spellStart"/>
      <w:r w:rsidRPr="00345528">
        <w:rPr>
          <w:lang w:val="es-ES"/>
        </w:rPr>
        <w:t>key</w:t>
      </w:r>
      <w:proofErr w:type="spellEnd"/>
      <w:r w:rsidRPr="00345528">
        <w:rPr>
          <w:lang w:val="es-ES"/>
        </w:rPr>
        <w:t xml:space="preserve"> </w:t>
      </w:r>
      <w:proofErr w:type="spellStart"/>
      <w:r w:rsidRPr="00345528">
        <w:rPr>
          <w:lang w:val="es-ES"/>
        </w:rPr>
        <w:t>words</w:t>
      </w:r>
      <w:proofErr w:type="spellEnd"/>
      <w:r w:rsidRPr="00345528">
        <w:rPr>
          <w:lang w:val="es-ES"/>
        </w:rPr>
        <w:t xml:space="preserve">. </w:t>
      </w:r>
    </w:p>
    <w:p w:rsidR="00BC7F67" w:rsidRPr="00345528" w:rsidRDefault="00BC7F67" w:rsidP="00BC7F67">
      <w:pPr>
        <w:pStyle w:val="NormalWeb"/>
        <w:numPr>
          <w:ilvl w:val="0"/>
          <w:numId w:val="4"/>
        </w:numPr>
        <w:jc w:val="both"/>
        <w:rPr>
          <w:lang w:val="es-ES"/>
        </w:rPr>
      </w:pPr>
      <w:r w:rsidRPr="00345528">
        <w:rPr>
          <w:lang w:val="es-ES"/>
        </w:rPr>
        <w:t>El artículo incluye todas las secciones contempladas según el tipo de artículo y de acuerdo con las recomendaciones de ICMJE y disposiciones de esta guía.</w:t>
      </w:r>
    </w:p>
    <w:p w:rsidR="00BC7F67" w:rsidRPr="00345528" w:rsidRDefault="00BC7F67" w:rsidP="00BC7F67">
      <w:pPr>
        <w:pStyle w:val="NormalWeb"/>
        <w:numPr>
          <w:ilvl w:val="0"/>
          <w:numId w:val="4"/>
        </w:numPr>
        <w:jc w:val="both"/>
        <w:rPr>
          <w:lang w:val="es-ES"/>
        </w:rPr>
      </w:pPr>
      <w:r w:rsidRPr="00345528">
        <w:rPr>
          <w:lang w:val="es-ES"/>
        </w:rPr>
        <w:t xml:space="preserve">El texto cumple cuidadosamente </w:t>
      </w:r>
      <w:r w:rsidR="001A0BF2" w:rsidRPr="00345528">
        <w:rPr>
          <w:lang w:val="es-ES"/>
        </w:rPr>
        <w:t>con los requisitos de citación y referenciación bajo el formato Vancouver</w:t>
      </w:r>
    </w:p>
    <w:p w:rsidR="001A0BF2" w:rsidRPr="00345528" w:rsidRDefault="001A0BF2" w:rsidP="00BC7F67">
      <w:pPr>
        <w:pStyle w:val="NormalWeb"/>
        <w:numPr>
          <w:ilvl w:val="0"/>
          <w:numId w:val="4"/>
        </w:numPr>
        <w:jc w:val="both"/>
        <w:rPr>
          <w:lang w:val="es-ES"/>
        </w:rPr>
      </w:pPr>
      <w:r w:rsidRPr="00345528">
        <w:rPr>
          <w:lang w:val="es-ES"/>
        </w:rPr>
        <w:t>El manuscrito informa cabalmente sobre el cumplimiento de las normas éticas para la investigación y la publicación.</w:t>
      </w:r>
    </w:p>
    <w:p w:rsidR="001A0BF2" w:rsidRPr="00345528" w:rsidRDefault="001A0BF2" w:rsidP="00BC7F67">
      <w:pPr>
        <w:pStyle w:val="NormalWeb"/>
        <w:numPr>
          <w:ilvl w:val="0"/>
          <w:numId w:val="4"/>
        </w:numPr>
        <w:jc w:val="both"/>
        <w:rPr>
          <w:lang w:val="es-ES"/>
        </w:rPr>
      </w:pPr>
      <w:r w:rsidRPr="00345528">
        <w:rPr>
          <w:lang w:val="es-ES"/>
        </w:rPr>
        <w:t xml:space="preserve">Han diligenciado la información completa en la </w:t>
      </w:r>
      <w:r w:rsidRPr="00345528">
        <w:rPr>
          <w:u w:val="single"/>
          <w:lang w:val="es-ES"/>
        </w:rPr>
        <w:t>carta de sometimiento</w:t>
      </w:r>
      <w:r w:rsidRPr="00345528">
        <w:rPr>
          <w:lang w:val="es-ES"/>
        </w:rPr>
        <w:t xml:space="preserve"> y está debidamente firmada por todos los autores.</w:t>
      </w:r>
    </w:p>
    <w:p w:rsidR="00BC7F67" w:rsidRPr="00345528" w:rsidRDefault="00442B3B" w:rsidP="00BC7F67">
      <w:pPr>
        <w:pStyle w:val="NormalWeb"/>
        <w:jc w:val="both"/>
        <w:rPr>
          <w:lang w:val="es-ES"/>
        </w:rPr>
      </w:pPr>
      <w:r w:rsidRPr="00345528">
        <w:rPr>
          <w:b/>
          <w:bCs/>
          <w:color w:val="AD0C07"/>
        </w:rPr>
        <w:lastRenderedPageBreak/>
        <w:t>Proceso de evaluación y publicación</w:t>
      </w:r>
    </w:p>
    <w:p w:rsidR="00442B3B" w:rsidRPr="00345528" w:rsidRDefault="00442B3B" w:rsidP="00442B3B">
      <w:pPr>
        <w:jc w:val="both"/>
        <w:rPr>
          <w:lang w:val="es-ES"/>
        </w:rPr>
      </w:pPr>
      <w:r w:rsidRPr="00345528">
        <w:rPr>
          <w:lang w:val="es-ES"/>
        </w:rPr>
        <w:t>Una vez los autores completen el sometimiento del manuscrito en la plataforma, esta enviará a los correos electrónicos una notificación de recibido, la cual incluirá un código único que permitirá su seguimiento. A partir de ese momento se seguirán los siguientes pasos:</w:t>
      </w:r>
    </w:p>
    <w:p w:rsidR="00442B3B" w:rsidRPr="00345528" w:rsidRDefault="00442B3B" w:rsidP="00442B3B">
      <w:pPr>
        <w:jc w:val="both"/>
        <w:rPr>
          <w:lang w:val="es-ES"/>
        </w:rPr>
      </w:pPr>
    </w:p>
    <w:p w:rsidR="00442B3B" w:rsidRPr="00345528" w:rsidRDefault="00215DB5" w:rsidP="00215DB5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345528">
        <w:rPr>
          <w:lang w:val="es-ES"/>
        </w:rPr>
        <w:t>El comité editorial recibe el manuscrito y decide sobre su pertinencia temática, similitud y adecuación a las instrucciones a los autores</w:t>
      </w:r>
      <w:r w:rsidR="00442B3B" w:rsidRPr="00345528">
        <w:rPr>
          <w:lang w:val="es-ES"/>
        </w:rPr>
        <w:t xml:space="preserve">. </w:t>
      </w:r>
      <w:r w:rsidRPr="00345528">
        <w:rPr>
          <w:lang w:val="es-ES"/>
        </w:rPr>
        <w:t xml:space="preserve">Envía comunicación sobre el inicio del proceso o rechazo. </w:t>
      </w:r>
      <w:r w:rsidR="00442B3B" w:rsidRPr="00345528">
        <w:rPr>
          <w:lang w:val="es-ES"/>
        </w:rPr>
        <w:t>De encontrar faltas importantes</w:t>
      </w:r>
      <w:r w:rsidRPr="00345528">
        <w:rPr>
          <w:lang w:val="es-ES"/>
        </w:rPr>
        <w:t xml:space="preserve"> que puedan ser subsanadas se </w:t>
      </w:r>
      <w:r w:rsidR="00442B3B" w:rsidRPr="00345528">
        <w:rPr>
          <w:lang w:val="es-ES"/>
        </w:rPr>
        <w:t>solicitará a los autores que realicen los ajustes correspondientes</w:t>
      </w:r>
      <w:r w:rsidRPr="00345528">
        <w:rPr>
          <w:lang w:val="es-ES"/>
        </w:rPr>
        <w:t xml:space="preserve"> antes de dar inicio al proceso</w:t>
      </w:r>
      <w:r w:rsidR="00442B3B" w:rsidRPr="00345528">
        <w:rPr>
          <w:lang w:val="es-ES"/>
        </w:rPr>
        <w:t>.</w:t>
      </w:r>
    </w:p>
    <w:p w:rsidR="00215DB5" w:rsidRPr="00345528" w:rsidRDefault="00215DB5" w:rsidP="00215DB5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345528">
        <w:rPr>
          <w:lang w:val="es-ES"/>
        </w:rPr>
        <w:t xml:space="preserve">El editor asignará mínimo dos pares evaluadores, con experticia en el tema y en el componente metodológico para su respectiva evaluación y concepto. </w:t>
      </w:r>
    </w:p>
    <w:p w:rsidR="00215DB5" w:rsidRPr="00345528" w:rsidRDefault="00215DB5" w:rsidP="00215DB5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345528">
        <w:rPr>
          <w:lang w:val="es-ES"/>
        </w:rPr>
        <w:t xml:space="preserve">Los evaluadores reciben una versión del manuscrito sin la información de los autores y </w:t>
      </w:r>
      <w:r w:rsidR="00442B3B" w:rsidRPr="00345528">
        <w:rPr>
          <w:lang w:val="es-ES"/>
        </w:rPr>
        <w:t xml:space="preserve">revisarán el documento en un lapso de tres semanas calendario </w:t>
      </w:r>
      <w:r w:rsidRPr="00345528">
        <w:rPr>
          <w:lang w:val="es-ES"/>
        </w:rPr>
        <w:t xml:space="preserve">respondiendo a los formatos dentro de la plataforma. Cuando esté finalizada la evaluación emitirán su concepto </w:t>
      </w:r>
      <w:r w:rsidR="00442B3B" w:rsidRPr="00345528">
        <w:rPr>
          <w:lang w:val="es-ES"/>
        </w:rPr>
        <w:t>y enviarán sus observaciones al editor</w:t>
      </w:r>
      <w:r w:rsidRPr="00345528">
        <w:rPr>
          <w:lang w:val="es-ES"/>
        </w:rPr>
        <w:t>.</w:t>
      </w:r>
    </w:p>
    <w:p w:rsidR="00442B3B" w:rsidRPr="00345528" w:rsidRDefault="00215DB5" w:rsidP="00215DB5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345528">
        <w:rPr>
          <w:lang w:val="es-ES"/>
        </w:rPr>
        <w:t>A</w:t>
      </w:r>
      <w:r w:rsidR="00442B3B" w:rsidRPr="00345528">
        <w:rPr>
          <w:lang w:val="es-ES"/>
        </w:rPr>
        <w:t xml:space="preserve"> partir de las sugerencias de los evaluadores, </w:t>
      </w:r>
      <w:r w:rsidRPr="00345528">
        <w:rPr>
          <w:lang w:val="es-ES"/>
        </w:rPr>
        <w:t xml:space="preserve">el editor </w:t>
      </w:r>
      <w:r w:rsidR="00442B3B" w:rsidRPr="00345528">
        <w:rPr>
          <w:lang w:val="es-ES"/>
        </w:rPr>
        <w:t>tomará la decisión: aceptado con cambios menores, aceptado con cambios mayores o rechazado</w:t>
      </w:r>
      <w:r w:rsidR="00173417" w:rsidRPr="00345528">
        <w:rPr>
          <w:lang w:val="es-ES"/>
        </w:rPr>
        <w:t xml:space="preserve"> y remitirá la respuesta a los autores, quienes a través de la plataforma podrán acceder a la decisión y a </w:t>
      </w:r>
      <w:r w:rsidR="00442B3B" w:rsidRPr="00345528">
        <w:rPr>
          <w:lang w:val="es-ES"/>
        </w:rPr>
        <w:t>las observaciones anónimas de los evaluadores.</w:t>
      </w:r>
    </w:p>
    <w:p w:rsidR="00442B3B" w:rsidRPr="00345528" w:rsidRDefault="00442B3B" w:rsidP="00215DB5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345528">
        <w:rPr>
          <w:lang w:val="es-ES"/>
        </w:rPr>
        <w:t>En caso de aceptación, los autores harán los cambios solicitados por el editor y enviarán el manuscrito corregido junto con una carta de respuesta a las observaciones. En caso de rechazo, los autores podrán apelar la decisión escribiendo una carta al editor exponiendo sus contraargumentos y realizando los ajustes que consideren necesarios. El comité editorial analizará el caso y el editor enviará una respuesta final a los autores.</w:t>
      </w:r>
    </w:p>
    <w:p w:rsidR="00442B3B" w:rsidRPr="00345528" w:rsidRDefault="00173417" w:rsidP="00215DB5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345528">
        <w:rPr>
          <w:lang w:val="es-ES"/>
        </w:rPr>
        <w:t xml:space="preserve">Una vez los autores realicen los ajustes deberán cargar el archivo nuevo a la plataforma dentro del mismo proceso y si fuese necesario también subirán la carta de sometimiento y archivos suplementarios. </w:t>
      </w:r>
    </w:p>
    <w:p w:rsidR="00442B3B" w:rsidRPr="00345528" w:rsidRDefault="00442B3B" w:rsidP="00215DB5">
      <w:pPr>
        <w:pStyle w:val="Prrafodelista"/>
        <w:numPr>
          <w:ilvl w:val="1"/>
          <w:numId w:val="6"/>
        </w:numPr>
        <w:jc w:val="both"/>
        <w:rPr>
          <w:lang w:val="es-ES"/>
        </w:rPr>
      </w:pPr>
      <w:r w:rsidRPr="00345528">
        <w:rPr>
          <w:lang w:val="es-ES"/>
        </w:rPr>
        <w:t>En caso de haberse solicitado cambios menores, el editor verificará que estos se hayan realizado y enviará respuesta a los autores indicando la aprobación final o la solicitud de ajustes según corresponda. Este paso se repite hasta lograr la versión final.</w:t>
      </w:r>
    </w:p>
    <w:p w:rsidR="00442B3B" w:rsidRPr="00345528" w:rsidRDefault="00442B3B" w:rsidP="00215DB5">
      <w:pPr>
        <w:pStyle w:val="Prrafodelista"/>
        <w:numPr>
          <w:ilvl w:val="1"/>
          <w:numId w:val="6"/>
        </w:numPr>
        <w:jc w:val="both"/>
        <w:rPr>
          <w:lang w:val="es-ES"/>
        </w:rPr>
      </w:pPr>
      <w:r w:rsidRPr="00345528">
        <w:rPr>
          <w:lang w:val="es-ES"/>
        </w:rPr>
        <w:t>En caso de haberse solicitado cambios mayores, la oficina editorial enviará la carta de respuesta de los autores y el manuscrito corregido a los evaluadores para nueva revisión. A partir de sus comentarios, el editor enviará respuesta a los autores indicando la aprobación final o la solicitud de ajustes según corresponda. Este paso se repite hasta lograr la versión final.</w:t>
      </w:r>
    </w:p>
    <w:p w:rsidR="00442B3B" w:rsidRPr="00345528" w:rsidRDefault="00173417" w:rsidP="00215DB5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345528">
        <w:rPr>
          <w:lang w:val="es-ES"/>
        </w:rPr>
        <w:t xml:space="preserve">La versión final se someterá a corrección de formatos y de estilo y se enviará a los autores </w:t>
      </w:r>
      <w:r w:rsidR="00442B3B" w:rsidRPr="00345528">
        <w:rPr>
          <w:lang w:val="es-ES"/>
        </w:rPr>
        <w:t xml:space="preserve">para su validación. Los ajustes </w:t>
      </w:r>
      <w:r w:rsidRPr="00345528">
        <w:rPr>
          <w:lang w:val="es-ES"/>
        </w:rPr>
        <w:t xml:space="preserve">a </w:t>
      </w:r>
      <w:r w:rsidR="00442B3B" w:rsidRPr="00345528">
        <w:rPr>
          <w:lang w:val="es-ES"/>
        </w:rPr>
        <w:t>que den lugar deben hacerse en los siguientes tres días. Solo se permiten cambios relacionados con esta fase del proceso (ortografía, gramática, redacción).</w:t>
      </w:r>
    </w:p>
    <w:p w:rsidR="008A3C7B" w:rsidRPr="00345528" w:rsidRDefault="00442B3B" w:rsidP="00215DB5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345528">
        <w:rPr>
          <w:lang w:val="es-ES"/>
        </w:rPr>
        <w:t xml:space="preserve">La </w:t>
      </w:r>
      <w:r w:rsidR="008A3C7B" w:rsidRPr="00345528">
        <w:rPr>
          <w:lang w:val="es-ES"/>
        </w:rPr>
        <w:t xml:space="preserve">versión final corregida se enviará a edición de diseño. Los autores podrán ver el artículo diagramado </w:t>
      </w:r>
      <w:r w:rsidRPr="00345528">
        <w:rPr>
          <w:lang w:val="es-ES"/>
        </w:rPr>
        <w:t>para su revisión</w:t>
      </w:r>
      <w:r w:rsidR="008A3C7B" w:rsidRPr="00345528">
        <w:rPr>
          <w:lang w:val="es-ES"/>
        </w:rPr>
        <w:t xml:space="preserve"> y aprobación</w:t>
      </w:r>
      <w:r w:rsidRPr="00345528">
        <w:rPr>
          <w:lang w:val="es-ES"/>
        </w:rPr>
        <w:t xml:space="preserve">. Las correcciones que den a lugar deben hacerse en los siguientes tres días. Solo se permiten cambios mínimos a las </w:t>
      </w:r>
      <w:r w:rsidRPr="00345528">
        <w:rPr>
          <w:lang w:val="es-ES"/>
        </w:rPr>
        <w:lastRenderedPageBreak/>
        <w:t xml:space="preserve">galeradas (por ejemplo, corrección de un error de ortografía o de tipografía generado por la diagramación). </w:t>
      </w:r>
    </w:p>
    <w:p w:rsidR="00442B3B" w:rsidRPr="00345528" w:rsidRDefault="00442B3B" w:rsidP="00215DB5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345528">
        <w:rPr>
          <w:lang w:val="es-ES"/>
        </w:rPr>
        <w:t>Una vez recibidas las correcciones, la revista publicará la versión definitiva en el número al cual fue asignad</w:t>
      </w:r>
      <w:r w:rsidR="008A3C7B" w:rsidRPr="00345528">
        <w:rPr>
          <w:lang w:val="es-ES"/>
        </w:rPr>
        <w:t>o el artículo</w:t>
      </w:r>
      <w:r w:rsidRPr="00345528">
        <w:rPr>
          <w:lang w:val="es-ES"/>
        </w:rPr>
        <w:t>.</w:t>
      </w:r>
    </w:p>
    <w:p w:rsidR="003E37FB" w:rsidRPr="00345528" w:rsidRDefault="003E37FB" w:rsidP="00442B3B">
      <w:pPr>
        <w:jc w:val="both"/>
        <w:rPr>
          <w:lang w:val="es-ES"/>
        </w:rPr>
      </w:pPr>
    </w:p>
    <w:sectPr w:rsidR="003E37FB" w:rsidRPr="00345528" w:rsidSect="00EF42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509"/>
    <w:multiLevelType w:val="hybridMultilevel"/>
    <w:tmpl w:val="1270B99C"/>
    <w:lvl w:ilvl="0" w:tplc="466C300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15" w:hanging="360"/>
      </w:pPr>
    </w:lvl>
    <w:lvl w:ilvl="2" w:tplc="040A001B" w:tentative="1">
      <w:start w:val="1"/>
      <w:numFmt w:val="lowerRoman"/>
      <w:lvlText w:val="%3."/>
      <w:lvlJc w:val="right"/>
      <w:pPr>
        <w:ind w:left="2435" w:hanging="180"/>
      </w:pPr>
    </w:lvl>
    <w:lvl w:ilvl="3" w:tplc="040A000F" w:tentative="1">
      <w:start w:val="1"/>
      <w:numFmt w:val="decimal"/>
      <w:lvlText w:val="%4."/>
      <w:lvlJc w:val="left"/>
      <w:pPr>
        <w:ind w:left="3155" w:hanging="360"/>
      </w:pPr>
    </w:lvl>
    <w:lvl w:ilvl="4" w:tplc="040A0019" w:tentative="1">
      <w:start w:val="1"/>
      <w:numFmt w:val="lowerLetter"/>
      <w:lvlText w:val="%5."/>
      <w:lvlJc w:val="left"/>
      <w:pPr>
        <w:ind w:left="3875" w:hanging="360"/>
      </w:pPr>
    </w:lvl>
    <w:lvl w:ilvl="5" w:tplc="040A001B" w:tentative="1">
      <w:start w:val="1"/>
      <w:numFmt w:val="lowerRoman"/>
      <w:lvlText w:val="%6."/>
      <w:lvlJc w:val="right"/>
      <w:pPr>
        <w:ind w:left="4595" w:hanging="180"/>
      </w:pPr>
    </w:lvl>
    <w:lvl w:ilvl="6" w:tplc="040A000F" w:tentative="1">
      <w:start w:val="1"/>
      <w:numFmt w:val="decimal"/>
      <w:lvlText w:val="%7."/>
      <w:lvlJc w:val="left"/>
      <w:pPr>
        <w:ind w:left="5315" w:hanging="360"/>
      </w:pPr>
    </w:lvl>
    <w:lvl w:ilvl="7" w:tplc="040A0019" w:tentative="1">
      <w:start w:val="1"/>
      <w:numFmt w:val="lowerLetter"/>
      <w:lvlText w:val="%8."/>
      <w:lvlJc w:val="left"/>
      <w:pPr>
        <w:ind w:left="6035" w:hanging="360"/>
      </w:pPr>
    </w:lvl>
    <w:lvl w:ilvl="8" w:tplc="04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" w15:restartNumberingAfterBreak="0">
    <w:nsid w:val="0BBF4279"/>
    <w:multiLevelType w:val="hybridMultilevel"/>
    <w:tmpl w:val="B7C20E84"/>
    <w:lvl w:ilvl="0" w:tplc="CFDE045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57B9"/>
    <w:multiLevelType w:val="hybridMultilevel"/>
    <w:tmpl w:val="9364FAF0"/>
    <w:lvl w:ilvl="0" w:tplc="FB08E6F2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15" w:hanging="360"/>
      </w:pPr>
    </w:lvl>
    <w:lvl w:ilvl="2" w:tplc="040A001B" w:tentative="1">
      <w:start w:val="1"/>
      <w:numFmt w:val="lowerRoman"/>
      <w:lvlText w:val="%3."/>
      <w:lvlJc w:val="right"/>
      <w:pPr>
        <w:ind w:left="2435" w:hanging="180"/>
      </w:pPr>
    </w:lvl>
    <w:lvl w:ilvl="3" w:tplc="040A000F" w:tentative="1">
      <w:start w:val="1"/>
      <w:numFmt w:val="decimal"/>
      <w:lvlText w:val="%4."/>
      <w:lvlJc w:val="left"/>
      <w:pPr>
        <w:ind w:left="3155" w:hanging="360"/>
      </w:pPr>
    </w:lvl>
    <w:lvl w:ilvl="4" w:tplc="040A0019" w:tentative="1">
      <w:start w:val="1"/>
      <w:numFmt w:val="lowerLetter"/>
      <w:lvlText w:val="%5."/>
      <w:lvlJc w:val="left"/>
      <w:pPr>
        <w:ind w:left="3875" w:hanging="360"/>
      </w:pPr>
    </w:lvl>
    <w:lvl w:ilvl="5" w:tplc="040A001B" w:tentative="1">
      <w:start w:val="1"/>
      <w:numFmt w:val="lowerRoman"/>
      <w:lvlText w:val="%6."/>
      <w:lvlJc w:val="right"/>
      <w:pPr>
        <w:ind w:left="4595" w:hanging="180"/>
      </w:pPr>
    </w:lvl>
    <w:lvl w:ilvl="6" w:tplc="040A000F" w:tentative="1">
      <w:start w:val="1"/>
      <w:numFmt w:val="decimal"/>
      <w:lvlText w:val="%7."/>
      <w:lvlJc w:val="left"/>
      <w:pPr>
        <w:ind w:left="5315" w:hanging="360"/>
      </w:pPr>
    </w:lvl>
    <w:lvl w:ilvl="7" w:tplc="040A0019" w:tentative="1">
      <w:start w:val="1"/>
      <w:numFmt w:val="lowerLetter"/>
      <w:lvlText w:val="%8."/>
      <w:lvlJc w:val="left"/>
      <w:pPr>
        <w:ind w:left="6035" w:hanging="360"/>
      </w:pPr>
    </w:lvl>
    <w:lvl w:ilvl="8" w:tplc="04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0F183C40"/>
    <w:multiLevelType w:val="hybridMultilevel"/>
    <w:tmpl w:val="390E5A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65B9"/>
    <w:multiLevelType w:val="hybridMultilevel"/>
    <w:tmpl w:val="DE44516E"/>
    <w:lvl w:ilvl="0" w:tplc="CFDE045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6E8AFB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81F3A"/>
    <w:multiLevelType w:val="hybridMultilevel"/>
    <w:tmpl w:val="75580FFE"/>
    <w:lvl w:ilvl="0" w:tplc="CFDE045C">
      <w:numFmt w:val="bullet"/>
      <w:lvlText w:val="-"/>
      <w:lvlJc w:val="left"/>
      <w:pPr>
        <w:ind w:left="1068" w:hanging="360"/>
      </w:pPr>
      <w:rPr>
        <w:rFonts w:ascii="Century Gothic" w:eastAsiaTheme="minorEastAsia" w:hAnsi="Century Gothic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0E1712"/>
    <w:multiLevelType w:val="hybridMultilevel"/>
    <w:tmpl w:val="701C3A7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71C18"/>
    <w:multiLevelType w:val="multilevel"/>
    <w:tmpl w:val="E6E0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84905"/>
    <w:multiLevelType w:val="hybridMultilevel"/>
    <w:tmpl w:val="8698DF8C"/>
    <w:lvl w:ilvl="0" w:tplc="0A581A1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8" w:hanging="360"/>
      </w:pPr>
    </w:lvl>
    <w:lvl w:ilvl="2" w:tplc="040A001B" w:tentative="1">
      <w:start w:val="1"/>
      <w:numFmt w:val="lowerRoman"/>
      <w:lvlText w:val="%3."/>
      <w:lvlJc w:val="right"/>
      <w:pPr>
        <w:ind w:left="1868" w:hanging="180"/>
      </w:pPr>
    </w:lvl>
    <w:lvl w:ilvl="3" w:tplc="040A000F" w:tentative="1">
      <w:start w:val="1"/>
      <w:numFmt w:val="decimal"/>
      <w:lvlText w:val="%4."/>
      <w:lvlJc w:val="left"/>
      <w:pPr>
        <w:ind w:left="2588" w:hanging="360"/>
      </w:pPr>
    </w:lvl>
    <w:lvl w:ilvl="4" w:tplc="040A0019" w:tentative="1">
      <w:start w:val="1"/>
      <w:numFmt w:val="lowerLetter"/>
      <w:lvlText w:val="%5."/>
      <w:lvlJc w:val="left"/>
      <w:pPr>
        <w:ind w:left="3308" w:hanging="360"/>
      </w:pPr>
    </w:lvl>
    <w:lvl w:ilvl="5" w:tplc="040A001B" w:tentative="1">
      <w:start w:val="1"/>
      <w:numFmt w:val="lowerRoman"/>
      <w:lvlText w:val="%6."/>
      <w:lvlJc w:val="right"/>
      <w:pPr>
        <w:ind w:left="4028" w:hanging="180"/>
      </w:pPr>
    </w:lvl>
    <w:lvl w:ilvl="6" w:tplc="040A000F" w:tentative="1">
      <w:start w:val="1"/>
      <w:numFmt w:val="decimal"/>
      <w:lvlText w:val="%7."/>
      <w:lvlJc w:val="left"/>
      <w:pPr>
        <w:ind w:left="4748" w:hanging="360"/>
      </w:pPr>
    </w:lvl>
    <w:lvl w:ilvl="7" w:tplc="040A0019" w:tentative="1">
      <w:start w:val="1"/>
      <w:numFmt w:val="lowerLetter"/>
      <w:lvlText w:val="%8."/>
      <w:lvlJc w:val="left"/>
      <w:pPr>
        <w:ind w:left="5468" w:hanging="360"/>
      </w:pPr>
    </w:lvl>
    <w:lvl w:ilvl="8" w:tplc="040A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66A9359B"/>
    <w:multiLevelType w:val="hybridMultilevel"/>
    <w:tmpl w:val="0C80EE70"/>
    <w:lvl w:ilvl="0" w:tplc="00A87D78">
      <w:start w:val="5"/>
      <w:numFmt w:val="bullet"/>
      <w:lvlText w:val="-"/>
      <w:lvlJc w:val="left"/>
      <w:pPr>
        <w:ind w:left="428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0" w15:restartNumberingAfterBreak="0">
    <w:nsid w:val="68025023"/>
    <w:multiLevelType w:val="hybridMultilevel"/>
    <w:tmpl w:val="B8122B74"/>
    <w:lvl w:ilvl="0" w:tplc="6306337E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15" w:hanging="360"/>
      </w:pPr>
    </w:lvl>
    <w:lvl w:ilvl="2" w:tplc="040A001B" w:tentative="1">
      <w:start w:val="1"/>
      <w:numFmt w:val="lowerRoman"/>
      <w:lvlText w:val="%3."/>
      <w:lvlJc w:val="right"/>
      <w:pPr>
        <w:ind w:left="2435" w:hanging="180"/>
      </w:pPr>
    </w:lvl>
    <w:lvl w:ilvl="3" w:tplc="040A000F" w:tentative="1">
      <w:start w:val="1"/>
      <w:numFmt w:val="decimal"/>
      <w:lvlText w:val="%4."/>
      <w:lvlJc w:val="left"/>
      <w:pPr>
        <w:ind w:left="3155" w:hanging="360"/>
      </w:pPr>
    </w:lvl>
    <w:lvl w:ilvl="4" w:tplc="040A0019" w:tentative="1">
      <w:start w:val="1"/>
      <w:numFmt w:val="lowerLetter"/>
      <w:lvlText w:val="%5."/>
      <w:lvlJc w:val="left"/>
      <w:pPr>
        <w:ind w:left="3875" w:hanging="360"/>
      </w:pPr>
    </w:lvl>
    <w:lvl w:ilvl="5" w:tplc="040A001B" w:tentative="1">
      <w:start w:val="1"/>
      <w:numFmt w:val="lowerRoman"/>
      <w:lvlText w:val="%6."/>
      <w:lvlJc w:val="right"/>
      <w:pPr>
        <w:ind w:left="4595" w:hanging="180"/>
      </w:pPr>
    </w:lvl>
    <w:lvl w:ilvl="6" w:tplc="040A000F" w:tentative="1">
      <w:start w:val="1"/>
      <w:numFmt w:val="decimal"/>
      <w:lvlText w:val="%7."/>
      <w:lvlJc w:val="left"/>
      <w:pPr>
        <w:ind w:left="5315" w:hanging="360"/>
      </w:pPr>
    </w:lvl>
    <w:lvl w:ilvl="7" w:tplc="040A0019" w:tentative="1">
      <w:start w:val="1"/>
      <w:numFmt w:val="lowerLetter"/>
      <w:lvlText w:val="%8."/>
      <w:lvlJc w:val="left"/>
      <w:pPr>
        <w:ind w:left="6035" w:hanging="360"/>
      </w:pPr>
    </w:lvl>
    <w:lvl w:ilvl="8" w:tplc="04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1" w15:restartNumberingAfterBreak="0">
    <w:nsid w:val="7EDF008C"/>
    <w:multiLevelType w:val="hybridMultilevel"/>
    <w:tmpl w:val="7624C65E"/>
    <w:lvl w:ilvl="0" w:tplc="BE0436FA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15" w:hanging="360"/>
      </w:pPr>
    </w:lvl>
    <w:lvl w:ilvl="2" w:tplc="040A001B" w:tentative="1">
      <w:start w:val="1"/>
      <w:numFmt w:val="lowerRoman"/>
      <w:lvlText w:val="%3."/>
      <w:lvlJc w:val="right"/>
      <w:pPr>
        <w:ind w:left="2435" w:hanging="180"/>
      </w:pPr>
    </w:lvl>
    <w:lvl w:ilvl="3" w:tplc="040A000F" w:tentative="1">
      <w:start w:val="1"/>
      <w:numFmt w:val="decimal"/>
      <w:lvlText w:val="%4."/>
      <w:lvlJc w:val="left"/>
      <w:pPr>
        <w:ind w:left="3155" w:hanging="360"/>
      </w:pPr>
    </w:lvl>
    <w:lvl w:ilvl="4" w:tplc="040A0019" w:tentative="1">
      <w:start w:val="1"/>
      <w:numFmt w:val="lowerLetter"/>
      <w:lvlText w:val="%5."/>
      <w:lvlJc w:val="left"/>
      <w:pPr>
        <w:ind w:left="3875" w:hanging="360"/>
      </w:pPr>
    </w:lvl>
    <w:lvl w:ilvl="5" w:tplc="040A001B" w:tentative="1">
      <w:start w:val="1"/>
      <w:numFmt w:val="lowerRoman"/>
      <w:lvlText w:val="%6."/>
      <w:lvlJc w:val="right"/>
      <w:pPr>
        <w:ind w:left="4595" w:hanging="180"/>
      </w:pPr>
    </w:lvl>
    <w:lvl w:ilvl="6" w:tplc="040A000F" w:tentative="1">
      <w:start w:val="1"/>
      <w:numFmt w:val="decimal"/>
      <w:lvlText w:val="%7."/>
      <w:lvlJc w:val="left"/>
      <w:pPr>
        <w:ind w:left="5315" w:hanging="360"/>
      </w:pPr>
    </w:lvl>
    <w:lvl w:ilvl="7" w:tplc="040A0019" w:tentative="1">
      <w:start w:val="1"/>
      <w:numFmt w:val="lowerLetter"/>
      <w:lvlText w:val="%8."/>
      <w:lvlJc w:val="left"/>
      <w:pPr>
        <w:ind w:left="6035" w:hanging="360"/>
      </w:pPr>
    </w:lvl>
    <w:lvl w:ilvl="8" w:tplc="040A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EB"/>
    <w:rsid w:val="00042BF5"/>
    <w:rsid w:val="0007691B"/>
    <w:rsid w:val="000B40BF"/>
    <w:rsid w:val="000F6FE8"/>
    <w:rsid w:val="00142C4C"/>
    <w:rsid w:val="00163C4A"/>
    <w:rsid w:val="00173417"/>
    <w:rsid w:val="001A0BF2"/>
    <w:rsid w:val="00215DB5"/>
    <w:rsid w:val="00345528"/>
    <w:rsid w:val="003E37FB"/>
    <w:rsid w:val="00442B3B"/>
    <w:rsid w:val="004605BF"/>
    <w:rsid w:val="00491BE2"/>
    <w:rsid w:val="004D7A5B"/>
    <w:rsid w:val="00670B7D"/>
    <w:rsid w:val="0067198F"/>
    <w:rsid w:val="007141DB"/>
    <w:rsid w:val="0073240E"/>
    <w:rsid w:val="00734425"/>
    <w:rsid w:val="00791958"/>
    <w:rsid w:val="007B14E3"/>
    <w:rsid w:val="007E2D89"/>
    <w:rsid w:val="008A3C7B"/>
    <w:rsid w:val="00A1641E"/>
    <w:rsid w:val="00A302B9"/>
    <w:rsid w:val="00B264AF"/>
    <w:rsid w:val="00B723BE"/>
    <w:rsid w:val="00BC6679"/>
    <w:rsid w:val="00BC7F67"/>
    <w:rsid w:val="00BD7D53"/>
    <w:rsid w:val="00BF7DBD"/>
    <w:rsid w:val="00D00996"/>
    <w:rsid w:val="00D76457"/>
    <w:rsid w:val="00E052EB"/>
    <w:rsid w:val="00E11904"/>
    <w:rsid w:val="00E5340E"/>
    <w:rsid w:val="00EF4250"/>
    <w:rsid w:val="00F3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F98B-D063-FB42-85D6-4AE8C69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F2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141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41DB"/>
    <w:pPr>
      <w:keepNext/>
      <w:keepLines/>
      <w:spacing w:before="160"/>
      <w:jc w:val="both"/>
      <w:outlineLvl w:val="1"/>
    </w:pPr>
    <w:rPr>
      <w:rFonts w:asciiTheme="majorHAnsi" w:eastAsiaTheme="majorEastAsia" w:hAnsiTheme="majorHAnsi" w:cstheme="majorBidi"/>
      <w:color w:val="4472C4" w:themeColor="accent1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2E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2E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2EB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52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52EB"/>
    <w:pPr>
      <w:spacing w:after="160"/>
      <w:jc w:val="both"/>
    </w:pPr>
    <w:rPr>
      <w:rFonts w:eastAsiaTheme="minorEastAsia"/>
      <w:sz w:val="20"/>
      <w:szCs w:val="20"/>
      <w:lang w:val="en-U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52EB"/>
    <w:rPr>
      <w:rFonts w:eastAsiaTheme="minorEastAsia"/>
      <w:sz w:val="20"/>
      <w:szCs w:val="20"/>
      <w:lang w:val="en-US" w:eastAsia="ja-JP"/>
    </w:rPr>
  </w:style>
  <w:style w:type="table" w:styleId="Tablaconcuadrcula">
    <w:name w:val="Table Grid"/>
    <w:basedOn w:val="Tablanormal"/>
    <w:uiPriority w:val="39"/>
    <w:rsid w:val="003E37FB"/>
    <w:rPr>
      <w:rFonts w:eastAsiaTheme="minorEastAsia"/>
      <w:sz w:val="17"/>
      <w:szCs w:val="17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B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1B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1BE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141DB"/>
    <w:rPr>
      <w:rFonts w:asciiTheme="majorHAnsi" w:eastAsiaTheme="majorEastAsia" w:hAnsiTheme="majorHAnsi" w:cstheme="majorBidi"/>
      <w:color w:val="4472C4" w:themeColor="accent1"/>
      <w:lang w:val="en-US"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714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7B14E3"/>
    <w:rPr>
      <w:b/>
      <w:bCs/>
    </w:rPr>
  </w:style>
  <w:style w:type="paragraph" w:customStyle="1" w:styleId="show">
    <w:name w:val="show"/>
    <w:basedOn w:val="Normal"/>
    <w:rsid w:val="001A0BF2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442B3B"/>
    <w:rPr>
      <w:color w:val="954F72" w:themeColor="followedHyperlink"/>
      <w:u w:val="single"/>
    </w:rPr>
  </w:style>
  <w:style w:type="character" w:customStyle="1" w:styleId="bkhlight">
    <w:name w:val="bk_hlight"/>
    <w:basedOn w:val="Fuentedeprrafopredeter"/>
    <w:rsid w:val="00A1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bsd/uniform_requirem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ethic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cs.bvs.br/E/homepagee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quator-network.org" TargetMode="External"/><Relationship Id="rId10" Type="http://schemas.openxmlformats.org/officeDocument/2006/relationships/hyperlink" Target="https://doi.org/10.1016/j.clbc.2011.02.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books/NBK725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2476</Words>
  <Characters>13623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2020-11-20T23:52:00Z</dcterms:created>
  <dcterms:modified xsi:type="dcterms:W3CDTF">2020-12-09T21:28:00Z</dcterms:modified>
</cp:coreProperties>
</file>